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eastAsia="方正小标宋简体" w:cs="Times New Roman" w:hAnsiTheme="majorEastAsia"/>
          <w:color w:val="FF0000"/>
          <w:sz w:val="96"/>
          <w:szCs w:val="66"/>
        </w:rPr>
      </w:pPr>
      <w:r>
        <w:rPr>
          <w:rFonts w:ascii="Times New Roman" w:hAnsi="Times New Roman" w:eastAsia="仿宋_GB2312" w:cs="Times New Roman"/>
          <w:color w:val="FF0000"/>
          <w:sz w:val="32"/>
          <w:szCs w:val="24"/>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ragraph">
                  <wp:posOffset>1059180</wp:posOffset>
                </wp:positionV>
                <wp:extent cx="6155055" cy="50800"/>
                <wp:effectExtent l="0" t="19050" r="36195" b="25400"/>
                <wp:wrapNone/>
                <wp:docPr id="6" name="组合 6"/>
                <wp:cNvGraphicFramePr/>
                <a:graphic xmlns:a="http://schemas.openxmlformats.org/drawingml/2006/main">
                  <a:graphicData uri="http://schemas.microsoft.com/office/word/2010/wordprocessingGroup">
                    <wpg:wgp>
                      <wpg:cNvGrpSpPr/>
                      <wpg:grpSpPr>
                        <a:xfrm>
                          <a:off x="0" y="0"/>
                          <a:ext cx="6155055" cy="50800"/>
                          <a:chOff x="1238" y="3498"/>
                          <a:chExt cx="9693" cy="80"/>
                        </a:xfrm>
                      </wpg:grpSpPr>
                      <wps:wsp>
                        <wps:cNvPr id="7" name="Line 5"/>
                        <wps:cNvCnPr/>
                        <wps:spPr bwMode="auto">
                          <a:xfrm>
                            <a:off x="1238" y="3498"/>
                            <a:ext cx="9693" cy="0"/>
                          </a:xfrm>
                          <a:prstGeom prst="line">
                            <a:avLst/>
                          </a:prstGeom>
                          <a:noFill/>
                          <a:ln w="28575">
                            <a:solidFill>
                              <a:srgbClr val="FF0000"/>
                            </a:solidFill>
                            <a:round/>
                          </a:ln>
                        </wps:spPr>
                        <wps:bodyPr/>
                      </wps:wsp>
                      <wps:wsp>
                        <wps:cNvPr id="8" name="Line 6"/>
                        <wps:cNvCnPr/>
                        <wps:spPr bwMode="auto">
                          <a:xfrm>
                            <a:off x="1238" y="3578"/>
                            <a:ext cx="9693" cy="0"/>
                          </a:xfrm>
                          <a:prstGeom prst="line">
                            <a:avLst/>
                          </a:prstGeom>
                          <a:noFill/>
                          <a:ln w="9525">
                            <a:solidFill>
                              <a:srgbClr val="FF0000"/>
                            </a:solidFill>
                            <a:round/>
                          </a:ln>
                        </wps:spPr>
                        <wps:bodyPr/>
                      </wps:wsp>
                    </wpg:wgp>
                  </a:graphicData>
                </a:graphic>
              </wp:anchor>
            </w:drawing>
          </mc:Choice>
          <mc:Fallback>
            <w:pict>
              <v:group id="_x0000_s1026" o:spid="_x0000_s1026" o:spt="203" style="position:absolute;left:0pt;margin-top:83.4pt;height:4pt;width:484.65pt;mso-position-horizontal:right;mso-position-horizontal-relative:margin;z-index:251661312;mso-width-relative:page;mso-height-relative:page;" coordorigin="1238,3498" coordsize="9693,80" o:gfxdata="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Bw+d9gAAAAIAQAADwAAAAAAAAABACAAAAAiAAAAZHJzL2Rvd25yZXYueG1sUEsBAhQA&#10;FAAAAAgAh07iQHscEDwrAgAA4gUAAA4AAAAAAAAAAQAgAAAAJwEAAGRycy9lMm9Eb2MueG1sUEsF&#10;BgAAAAAGAAYAWQEAAMQFAAAAAA==&#10;">
                <o:lock v:ext="edit" aspectratio="f"/>
                <v:line id="Line 5" o:spid="_x0000_s1026" o:spt="20" style="position:absolute;left:1238;top:3498;height:0;width:9693;" filled="f" stroked="t" coordsize="21600,21600" o:gfxdata="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oIV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Line 6" o:spid="_x0000_s1026" o:spt="20" style="position:absolute;left:1238;top:3578;height:0;width:9693;" filled="f" stroked="t" coordsize="21600,21600" o:gfxdata="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loxm5AAAA2gAA&#10;AA8AAAAAAAAAAQAgAAAAIgAAAGRycy9kb3ducmV2LnhtbFBLAQIUABQAAAAIAIdO4kAzLwWeOwAA&#10;ADkAAAAQAAAAAAAAAAEAIAAAAAgBAABkcnMvc2hhcGV4bWwueG1sUEsFBgAAAAAGAAYAWwEAALID&#10;AAAAAA==&#10;">
                  <v:fill on="f" focussize="0,0"/>
                  <v:stroke color="#FF0000" joinstyle="round"/>
                  <v:imagedata o:title=""/>
                  <o:lock v:ext="edit" aspectratio="f"/>
                </v:line>
              </v:group>
            </w:pict>
          </mc:Fallback>
        </mc:AlternateContent>
      </w:r>
      <w:r>
        <w:rPr>
          <w:rFonts w:hint="eastAsia" w:ascii="方正小标宋简体" w:eastAsia="方正小标宋简体" w:cs="Times New Roman" w:hAnsiTheme="majorEastAsia"/>
          <w:color w:val="FF0000"/>
          <w:sz w:val="96"/>
          <w:szCs w:val="66"/>
        </w:rPr>
        <w:t>中山大学化学学院</w:t>
      </w:r>
    </w:p>
    <w:p>
      <w:pPr>
        <w:keepNext w:val="0"/>
        <w:keepLines w:val="0"/>
        <w:pageBreakBefore w:val="0"/>
        <w:kinsoku/>
        <w:wordWrap/>
        <w:overflowPunct/>
        <w:topLinePunct w:val="0"/>
        <w:autoSpaceDE/>
        <w:autoSpaceDN/>
        <w:bidi w:val="0"/>
        <w:adjustRightInd w:val="0"/>
        <w:snapToGrid w:val="0"/>
        <w:spacing w:line="540" w:lineRule="exact"/>
        <w:jc w:val="both"/>
        <w:textAlignment w:val="auto"/>
        <w:rPr>
          <w:rFonts w:ascii="仿宋_GB2312" w:hAnsi="Times New Roman" w:eastAsia="仿宋_GB2312" w:cs="Times New Roman"/>
          <w:bCs/>
          <w:color w:val="auto"/>
          <w:spacing w:val="8"/>
          <w:sz w:val="30"/>
          <w:szCs w:val="30"/>
        </w:rPr>
      </w:pPr>
      <w:r>
        <w:rPr>
          <w:rFonts w:ascii="Times New Roman" w:hAnsi="Times New Roman" w:eastAsia="宋体" w:cs="Times New Roman"/>
          <w:color w:val="auto"/>
          <w:sz w:val="28"/>
          <w:szCs w:val="28"/>
        </w:rPr>
        <w:t xml:space="preserve">    </w:t>
      </w:r>
      <w:r>
        <w:rPr>
          <w:rFonts w:hint="eastAsia" w:ascii="Times New Roman" w:hAnsi="Times New Roman" w:eastAsia="宋体" w:cs="Times New Roman"/>
          <w:color w:val="auto"/>
          <w:sz w:val="28"/>
          <w:szCs w:val="28"/>
          <w:lang w:val="en-US" w:eastAsia="zh-CN"/>
        </w:rPr>
        <w:t xml:space="preserve">                                           </w:t>
      </w:r>
      <w:r>
        <w:rPr>
          <w:rFonts w:ascii="Times New Roman" w:hAnsi="Times New Roman" w:eastAsia="宋体" w:cs="Times New Roman"/>
          <w:color w:val="auto"/>
          <w:sz w:val="28"/>
          <w:szCs w:val="28"/>
        </w:rPr>
        <w:t xml:space="preserve"> </w:t>
      </w:r>
      <w:r>
        <w:rPr>
          <w:rFonts w:hint="eastAsia" w:ascii="仿宋_GB2312" w:hAnsi="仿宋_GB2312" w:eastAsia="仿宋_GB2312" w:cs="仿宋_GB2312"/>
          <w:color w:val="auto"/>
          <w:sz w:val="28"/>
          <w:szCs w:val="28"/>
          <w:lang w:val="en-US" w:eastAsia="zh-CN"/>
        </w:rPr>
        <w:t>化学</w:t>
      </w:r>
      <w:r>
        <w:rPr>
          <w:rFonts w:hint="default" w:ascii="Times New Roman" w:hAnsi="Times New Roman" w:eastAsia="仿宋_GB2312" w:cs="Times New Roman"/>
          <w:bCs/>
          <w:color w:val="auto"/>
          <w:spacing w:val="8"/>
          <w:sz w:val="32"/>
          <w:szCs w:val="32"/>
        </w:rPr>
        <w:t>〔20</w:t>
      </w:r>
      <w:r>
        <w:rPr>
          <w:rFonts w:hint="eastAsia" w:ascii="Times New Roman" w:hAnsi="Times New Roman" w:eastAsia="仿宋_GB2312" w:cs="Times New Roman"/>
          <w:bCs/>
          <w:color w:val="auto"/>
          <w:spacing w:val="8"/>
          <w:sz w:val="32"/>
          <w:szCs w:val="32"/>
          <w:lang w:val="en-US" w:eastAsia="zh-CN"/>
        </w:rPr>
        <w:t>20</w:t>
      </w:r>
      <w:r>
        <w:rPr>
          <w:rFonts w:hint="default" w:ascii="Times New Roman" w:hAnsi="Times New Roman" w:eastAsia="仿宋_GB2312" w:cs="Times New Roman"/>
          <w:bCs/>
          <w:color w:val="auto"/>
          <w:spacing w:val="8"/>
          <w:sz w:val="32"/>
          <w:szCs w:val="32"/>
        </w:rPr>
        <w:t>〕</w:t>
      </w:r>
      <w:r>
        <w:rPr>
          <w:rFonts w:hint="eastAsia" w:ascii="Times New Roman" w:hAnsi="Times New Roman" w:eastAsia="仿宋_GB2312" w:cs="Times New Roman"/>
          <w:bCs/>
          <w:color w:val="auto"/>
          <w:spacing w:val="8"/>
          <w:sz w:val="32"/>
          <w:szCs w:val="32"/>
          <w:lang w:val="en-US" w:eastAsia="zh-CN"/>
        </w:rPr>
        <w:t>36</w:t>
      </w:r>
      <w:r>
        <w:rPr>
          <w:rFonts w:hint="default" w:ascii="Times New Roman" w:hAnsi="Times New Roman" w:eastAsia="仿宋_GB2312" w:cs="Times New Roman"/>
          <w:bCs/>
          <w:color w:val="auto"/>
          <w:spacing w:val="8"/>
          <w:sz w:val="32"/>
          <w:szCs w:val="32"/>
        </w:rPr>
        <w:t>号</w:t>
      </w:r>
    </w:p>
    <w:p>
      <w:pPr>
        <w:keepNext w:val="0"/>
        <w:keepLines w:val="0"/>
        <w:pageBreakBefore w:val="0"/>
        <w:kinsoku/>
        <w:wordWrap/>
        <w:overflowPunct/>
        <w:topLinePunct w:val="0"/>
        <w:autoSpaceDE/>
        <w:autoSpaceDN/>
        <w:bidi w:val="0"/>
        <w:adjustRightInd w:val="0"/>
        <w:snapToGrid w:val="0"/>
        <w:spacing w:line="540" w:lineRule="exact"/>
        <w:jc w:val="both"/>
        <w:textAlignment w:val="auto"/>
        <w:rPr>
          <w:rFonts w:ascii="仿宋_GB2312" w:hAnsi="宋体" w:eastAsia="仿宋_GB2312" w:cs="Times New Roman"/>
          <w:color w:val="auto"/>
          <w:sz w:val="30"/>
          <w:szCs w:val="30"/>
        </w:rPr>
      </w:pPr>
    </w:p>
    <w:p>
      <w:pPr>
        <w:keepNext w:val="0"/>
        <w:keepLines w:val="0"/>
        <w:pageBreakBefore w:val="0"/>
        <w:kinsoku/>
        <w:wordWrap/>
        <w:overflowPunct/>
        <w:topLinePunct w:val="0"/>
        <w:autoSpaceDE/>
        <w:autoSpaceDN/>
        <w:bidi w:val="0"/>
        <w:adjustRightInd w:val="0"/>
        <w:snapToGrid w:val="0"/>
        <w:spacing w:line="540" w:lineRule="exact"/>
        <w:jc w:val="both"/>
        <w:textAlignment w:val="auto"/>
        <w:rPr>
          <w:rFonts w:ascii="仿宋_GB2312" w:hAnsi="宋体" w:eastAsia="仿宋_GB2312" w:cs="Times New Roman"/>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方正小标宋简体" w:eastAsia="方正小标宋简体" w:cs="Times New Roman" w:hAnsiTheme="minorEastAsia"/>
          <w:color w:val="auto"/>
          <w:sz w:val="44"/>
          <w:szCs w:val="44"/>
        </w:rPr>
      </w:pPr>
      <w:r>
        <w:rPr>
          <w:rFonts w:hint="eastAsia" w:ascii="方正小标宋简体" w:eastAsia="方正小标宋简体" w:cs="Times New Roman" w:hAnsiTheme="minorEastAsia"/>
          <w:color w:val="auto"/>
          <w:sz w:val="44"/>
          <w:szCs w:val="44"/>
        </w:rPr>
        <w:t>化学学院关于</w:t>
      </w:r>
      <w:r>
        <w:rPr>
          <w:rFonts w:hint="eastAsia" w:ascii="方正小标宋简体" w:eastAsia="方正小标宋简体" w:cs="Times New Roman" w:hAnsiTheme="minorEastAsia"/>
          <w:color w:val="auto"/>
          <w:sz w:val="44"/>
          <w:szCs w:val="44"/>
          <w:lang w:val="en-US" w:eastAsia="zh-CN"/>
        </w:rPr>
        <w:t>修订</w:t>
      </w:r>
      <w:r>
        <w:rPr>
          <w:rFonts w:hint="eastAsia" w:ascii="方正小标宋简体" w:eastAsia="方正小标宋简体" w:cs="Times New Roman" w:hAnsiTheme="minorEastAsia"/>
          <w:color w:val="auto"/>
          <w:sz w:val="44"/>
          <w:szCs w:val="44"/>
        </w:rPr>
        <w:t>《化学学院本科生奖学金综合测评方案</w:t>
      </w:r>
      <w:r>
        <w:rPr>
          <w:rFonts w:hint="eastAsia" w:ascii="方正小标宋简体" w:eastAsia="方正小标宋简体" w:cs="Times New Roman" w:hAnsiTheme="minorEastAsia"/>
          <w:color w:val="auto"/>
          <w:sz w:val="44"/>
          <w:szCs w:val="44"/>
          <w:lang w:eastAsia="zh-CN"/>
        </w:rPr>
        <w:t>（</w:t>
      </w:r>
      <w:r>
        <w:rPr>
          <w:rFonts w:hint="eastAsia" w:ascii="方正小标宋简体" w:eastAsia="方正小标宋简体" w:cs="Times New Roman" w:hAnsiTheme="minorEastAsia"/>
          <w:color w:val="auto"/>
          <w:sz w:val="44"/>
          <w:szCs w:val="44"/>
          <w:lang w:val="en-US" w:eastAsia="zh-CN"/>
        </w:rPr>
        <w:t>2021年版）</w:t>
      </w:r>
      <w:r>
        <w:rPr>
          <w:rFonts w:hint="eastAsia" w:ascii="方正小标宋简体" w:eastAsia="方正小标宋简体" w:cs="Times New Roman" w:hAnsiTheme="minorEastAsia"/>
          <w:color w:val="auto"/>
          <w:sz w:val="44"/>
          <w:szCs w:val="44"/>
        </w:rPr>
        <w:t>》的通知</w:t>
      </w:r>
    </w:p>
    <w:p>
      <w:pPr>
        <w:keepNext w:val="0"/>
        <w:keepLines w:val="0"/>
        <w:pageBreakBefore w:val="0"/>
        <w:widowControl/>
        <w:kinsoku/>
        <w:wordWrap/>
        <w:overflowPunct/>
        <w:topLinePunct w:val="0"/>
        <w:autoSpaceDE/>
        <w:autoSpaceDN/>
        <w:bidi w:val="0"/>
        <w:adjustRightInd w:val="0"/>
        <w:snapToGrid w:val="0"/>
        <w:spacing w:line="540" w:lineRule="exact"/>
        <w:jc w:val="both"/>
        <w:textAlignment w:val="auto"/>
        <w:rPr>
          <w:rFonts w:cs="Times New Roman" w:asciiTheme="minorEastAsia" w:hAnsiTheme="minorEastAsia"/>
          <w:color w:val="auto"/>
          <w:kern w:val="0"/>
          <w:sz w:val="36"/>
          <w:szCs w:val="36"/>
        </w:rPr>
      </w:pPr>
    </w:p>
    <w:p>
      <w:pPr>
        <w:keepNext w:val="0"/>
        <w:keepLines w:val="0"/>
        <w:pageBreakBefore w:val="0"/>
        <w:widowControl/>
        <w:kinsoku/>
        <w:wordWrap/>
        <w:overflowPunct/>
        <w:topLinePunct w:val="0"/>
        <w:autoSpaceDE/>
        <w:autoSpaceDN/>
        <w:bidi w:val="0"/>
        <w:adjustRightInd w:val="0"/>
        <w:snapToGrid w:val="0"/>
        <w:spacing w:line="360" w:lineRule="auto"/>
        <w:ind w:right="0"/>
        <w:jc w:val="both"/>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院内各单位：</w:t>
      </w:r>
    </w:p>
    <w:p>
      <w:pPr>
        <w:keepNext w:val="0"/>
        <w:keepLines w:val="0"/>
        <w:pageBreakBefore w:val="0"/>
        <w:widowControl/>
        <w:kinsoku/>
        <w:wordWrap/>
        <w:overflowPunct/>
        <w:topLinePunct w:val="0"/>
        <w:autoSpaceDE/>
        <w:autoSpaceDN/>
        <w:bidi w:val="0"/>
        <w:adjustRightInd w:val="0"/>
        <w:snapToGrid w:val="0"/>
        <w:spacing w:line="360" w:lineRule="auto"/>
        <w:ind w:right="0" w:firstLine="640" w:firstLineChars="200"/>
        <w:jc w:val="both"/>
        <w:textAlignment w:val="auto"/>
        <w:rPr>
          <w:rFonts w:hint="default" w:ascii="Times New Roman" w:hAnsi="Times New Roman" w:eastAsia="仿宋" w:cs="Times New Roman"/>
          <w:bCs/>
          <w:color w:val="auto"/>
          <w:sz w:val="32"/>
          <w:szCs w:val="32"/>
        </w:rPr>
      </w:pPr>
      <w:r>
        <w:rPr>
          <w:rFonts w:hint="eastAsia" w:ascii="Times New Roman" w:hAnsi="Times New Roman" w:eastAsia="仿宋" w:cs="Times New Roman"/>
          <w:bCs/>
          <w:color w:val="auto"/>
          <w:sz w:val="32"/>
          <w:szCs w:val="32"/>
          <w:lang w:val="en-US" w:eastAsia="zh-CN"/>
        </w:rPr>
        <w:t>根据学校要求，</w:t>
      </w:r>
      <w:r>
        <w:rPr>
          <w:rFonts w:hint="default" w:ascii="Times New Roman" w:hAnsi="Times New Roman" w:eastAsia="仿宋" w:cs="Times New Roman"/>
          <w:bCs/>
          <w:color w:val="auto"/>
          <w:sz w:val="32"/>
          <w:szCs w:val="32"/>
        </w:rPr>
        <w:t>经学院党政联席会议审议通过</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特</w:t>
      </w:r>
      <w:r>
        <w:rPr>
          <w:rFonts w:hint="default" w:ascii="Times New Roman" w:hAnsi="Times New Roman" w:eastAsia="仿宋" w:cs="Times New Roman"/>
          <w:bCs/>
          <w:color w:val="auto"/>
          <w:sz w:val="32"/>
          <w:szCs w:val="32"/>
          <w:lang w:val="en-US" w:eastAsia="zh-CN"/>
        </w:rPr>
        <w:t>修订</w:t>
      </w:r>
      <w:r>
        <w:rPr>
          <w:rFonts w:hint="default" w:ascii="Times New Roman" w:hAnsi="Times New Roman" w:eastAsia="仿宋" w:cs="Times New Roman"/>
          <w:bCs/>
          <w:color w:val="auto"/>
          <w:sz w:val="32"/>
          <w:szCs w:val="32"/>
        </w:rPr>
        <w:t>《化学学院本科生奖学金综合测评方案（2021年版）》，</w:t>
      </w:r>
      <w:r>
        <w:rPr>
          <w:rFonts w:hint="eastAsia" w:ascii="Times New Roman" w:hAnsi="Times New Roman" w:eastAsia="仿宋" w:cs="Times New Roman"/>
          <w:bCs/>
          <w:color w:val="auto"/>
          <w:sz w:val="32"/>
          <w:szCs w:val="32"/>
          <w:lang w:val="en-US" w:eastAsia="zh-CN"/>
        </w:rPr>
        <w:t>修订后方案从2021年9月后适用，</w:t>
      </w:r>
      <w:r>
        <w:rPr>
          <w:rFonts w:hint="default" w:ascii="Times New Roman" w:hAnsi="Times New Roman" w:eastAsia="仿宋" w:cs="Times New Roman"/>
          <w:bCs/>
          <w:color w:val="auto"/>
          <w:sz w:val="32"/>
          <w:szCs w:val="32"/>
          <w:lang w:val="en-US" w:eastAsia="zh-CN"/>
        </w:rPr>
        <w:t>原《化学学院本科生奖学金综合测评方案》（化学</w:t>
      </w:r>
      <w:r>
        <w:rPr>
          <w:rFonts w:hint="default" w:ascii="Times New Roman" w:hAnsi="Times New Roman" w:eastAsia="仿宋_GB2312" w:cs="Times New Roman"/>
          <w:bCs/>
          <w:color w:val="auto"/>
          <w:spacing w:val="8"/>
          <w:sz w:val="32"/>
          <w:szCs w:val="32"/>
        </w:rPr>
        <w:t>〔20</w:t>
      </w:r>
      <w:r>
        <w:rPr>
          <w:rFonts w:hint="eastAsia" w:ascii="Times New Roman" w:hAnsi="Times New Roman" w:eastAsia="仿宋_GB2312" w:cs="Times New Roman"/>
          <w:bCs/>
          <w:color w:val="auto"/>
          <w:spacing w:val="8"/>
          <w:sz w:val="32"/>
          <w:szCs w:val="32"/>
          <w:lang w:val="en-US" w:eastAsia="zh-CN"/>
        </w:rPr>
        <w:t>20</w:t>
      </w:r>
      <w:r>
        <w:rPr>
          <w:rFonts w:hint="default" w:ascii="Times New Roman" w:hAnsi="Times New Roman" w:eastAsia="仿宋_GB2312" w:cs="Times New Roman"/>
          <w:bCs/>
          <w:color w:val="auto"/>
          <w:spacing w:val="8"/>
          <w:sz w:val="32"/>
          <w:szCs w:val="32"/>
        </w:rPr>
        <w:t>〕</w:t>
      </w:r>
      <w:r>
        <w:rPr>
          <w:rFonts w:hint="eastAsia" w:ascii="Times New Roman" w:hAnsi="Times New Roman" w:eastAsia="仿宋_GB2312" w:cs="Times New Roman"/>
          <w:bCs/>
          <w:color w:val="auto"/>
          <w:spacing w:val="8"/>
          <w:sz w:val="32"/>
          <w:szCs w:val="32"/>
          <w:lang w:val="en-US" w:eastAsia="zh-CN"/>
        </w:rPr>
        <w:t>10</w:t>
      </w:r>
      <w:r>
        <w:rPr>
          <w:rFonts w:hint="default" w:ascii="Times New Roman" w:hAnsi="Times New Roman" w:eastAsia="仿宋_GB2312" w:cs="Times New Roman"/>
          <w:bCs/>
          <w:color w:val="auto"/>
          <w:spacing w:val="8"/>
          <w:sz w:val="32"/>
          <w:szCs w:val="32"/>
        </w:rPr>
        <w:t>号</w:t>
      </w:r>
      <w:r>
        <w:rPr>
          <w:rFonts w:hint="default" w:ascii="Times New Roman" w:hAnsi="Times New Roman" w:eastAsia="仿宋" w:cs="Times New Roman"/>
          <w:bCs/>
          <w:color w:val="auto"/>
          <w:sz w:val="32"/>
          <w:szCs w:val="32"/>
          <w:lang w:val="en-US" w:eastAsia="zh-CN"/>
        </w:rPr>
        <w:t>）</w:t>
      </w:r>
      <w:r>
        <w:rPr>
          <w:rFonts w:hint="eastAsia" w:ascii="Times New Roman" w:hAnsi="Times New Roman" w:eastAsia="仿宋" w:cs="Times New Roman"/>
          <w:bCs/>
          <w:color w:val="auto"/>
          <w:sz w:val="32"/>
          <w:szCs w:val="32"/>
          <w:lang w:val="en-US" w:eastAsia="zh-CN"/>
        </w:rPr>
        <w:t>适用至2021年8月</w:t>
      </w:r>
      <w:r>
        <w:rPr>
          <w:rFonts w:hint="default" w:ascii="Times New Roman" w:hAnsi="Times New Roman" w:eastAsia="仿宋" w:cs="Times New Roman"/>
          <w:bCs/>
          <w:color w:val="auto"/>
          <w:sz w:val="32"/>
          <w:szCs w:val="32"/>
          <w:lang w:val="en-US" w:eastAsia="zh-CN"/>
        </w:rPr>
        <w:t>。</w:t>
      </w:r>
      <w:r>
        <w:rPr>
          <w:rFonts w:hint="default" w:ascii="Times New Roman" w:hAnsi="Times New Roman" w:eastAsia="仿宋" w:cs="Times New Roman"/>
          <w:bCs/>
          <w:color w:val="auto"/>
          <w:sz w:val="32"/>
          <w:szCs w:val="32"/>
        </w:rPr>
        <w:t xml:space="preserve">现将印发规定予以公布，请遵照执行。   </w:t>
      </w:r>
    </w:p>
    <w:p>
      <w:pPr>
        <w:keepNext w:val="0"/>
        <w:keepLines w:val="0"/>
        <w:pageBreakBefore w:val="0"/>
        <w:widowControl/>
        <w:kinsoku/>
        <w:wordWrap/>
        <w:overflowPunct/>
        <w:topLinePunct w:val="0"/>
        <w:autoSpaceDE/>
        <w:autoSpaceDN/>
        <w:bidi w:val="0"/>
        <w:adjustRightInd w:val="0"/>
        <w:snapToGrid w:val="0"/>
        <w:spacing w:line="360" w:lineRule="auto"/>
        <w:ind w:right="0" w:firstLine="600"/>
        <w:jc w:val="both"/>
        <w:textAlignment w:val="auto"/>
        <w:rPr>
          <w:rFonts w:ascii="仿宋" w:hAnsi="仿宋" w:eastAsia="仿宋" w:cs="Times New Roman"/>
          <w:color w:val="auto"/>
          <w:kern w:val="0"/>
          <w:sz w:val="32"/>
          <w:szCs w:val="30"/>
        </w:rPr>
      </w:pPr>
    </w:p>
    <w:p>
      <w:pPr>
        <w:keepNext w:val="0"/>
        <w:keepLines w:val="0"/>
        <w:pageBreakBefore w:val="0"/>
        <w:widowControl/>
        <w:kinsoku/>
        <w:wordWrap/>
        <w:overflowPunct/>
        <w:topLinePunct w:val="0"/>
        <w:autoSpaceDE/>
        <w:autoSpaceDN/>
        <w:bidi w:val="0"/>
        <w:adjustRightInd w:val="0"/>
        <w:snapToGrid w:val="0"/>
        <w:spacing w:line="360" w:lineRule="auto"/>
        <w:ind w:right="0"/>
        <w:jc w:val="both"/>
        <w:textAlignment w:val="auto"/>
        <w:rPr>
          <w:rFonts w:ascii="仿宋" w:hAnsi="仿宋" w:eastAsia="仿宋" w:cs="Times New Roman"/>
          <w:color w:val="auto"/>
          <w:kern w:val="0"/>
          <w:sz w:val="32"/>
          <w:szCs w:val="30"/>
        </w:rPr>
      </w:pPr>
      <w:r>
        <w:rPr>
          <w:rFonts w:hint="eastAsia" w:ascii="仿宋" w:hAnsi="仿宋" w:eastAsia="仿宋" w:cs="Times New Roman"/>
          <w:color w:val="auto"/>
          <w:kern w:val="0"/>
          <w:sz w:val="32"/>
          <w:szCs w:val="30"/>
          <w:lang w:val="en-US" w:eastAsia="zh-CN"/>
        </w:rPr>
        <w:t xml:space="preserve">                                        </w:t>
      </w:r>
      <w:r>
        <w:rPr>
          <w:rFonts w:hint="eastAsia" w:ascii="仿宋" w:hAnsi="仿宋" w:eastAsia="仿宋" w:cs="Times New Roman"/>
          <w:color w:val="auto"/>
          <w:kern w:val="0"/>
          <w:sz w:val="32"/>
          <w:szCs w:val="30"/>
        </w:rPr>
        <w:t>化学学院</w:t>
      </w:r>
    </w:p>
    <w:p>
      <w:pPr>
        <w:keepNext w:val="0"/>
        <w:keepLines w:val="0"/>
        <w:pageBreakBefore w:val="0"/>
        <w:widowControl/>
        <w:kinsoku/>
        <w:wordWrap/>
        <w:overflowPunct/>
        <w:topLinePunct w:val="0"/>
        <w:autoSpaceDE/>
        <w:autoSpaceDN/>
        <w:bidi w:val="0"/>
        <w:adjustRightInd w:val="0"/>
        <w:snapToGrid w:val="0"/>
        <w:spacing w:line="360" w:lineRule="auto"/>
        <w:ind w:right="0" w:firstLine="5760" w:firstLineChars="18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20</w:t>
      </w:r>
      <w:r>
        <w:rPr>
          <w:rFonts w:hint="default" w:ascii="Times New Roman" w:hAnsi="Times New Roman" w:eastAsia="仿宋_GB2312" w:cs="Times New Roman"/>
          <w:color w:val="auto"/>
          <w:kern w:val="0"/>
          <w:sz w:val="32"/>
          <w:szCs w:val="30"/>
          <w:lang w:val="en-US" w:eastAsia="zh-CN"/>
        </w:rPr>
        <w:t>20</w:t>
      </w:r>
      <w:r>
        <w:rPr>
          <w:rFonts w:hint="default" w:ascii="Times New Roman" w:hAnsi="Times New Roman" w:eastAsia="仿宋_GB2312" w:cs="Times New Roman"/>
          <w:color w:val="auto"/>
          <w:kern w:val="0"/>
          <w:sz w:val="32"/>
          <w:szCs w:val="30"/>
        </w:rPr>
        <w:t>年</w:t>
      </w:r>
      <w:r>
        <w:rPr>
          <w:rFonts w:hint="eastAsia" w:ascii="Times New Roman" w:hAnsi="Times New Roman" w:eastAsia="仿宋_GB2312" w:cs="Times New Roman"/>
          <w:color w:val="auto"/>
          <w:kern w:val="0"/>
          <w:sz w:val="32"/>
          <w:szCs w:val="30"/>
          <w:lang w:val="en-US" w:eastAsia="zh-CN"/>
        </w:rPr>
        <w:t>6</w:t>
      </w:r>
      <w:r>
        <w:rPr>
          <w:rFonts w:hint="default" w:ascii="Times New Roman" w:hAnsi="Times New Roman" w:eastAsia="仿宋_GB2312" w:cs="Times New Roman"/>
          <w:color w:val="auto"/>
          <w:kern w:val="0"/>
          <w:sz w:val="32"/>
          <w:szCs w:val="30"/>
        </w:rPr>
        <w:t>月</w:t>
      </w:r>
      <w:r>
        <w:rPr>
          <w:rFonts w:hint="eastAsia" w:ascii="Times New Roman" w:hAnsi="Times New Roman" w:eastAsia="仿宋_GB2312" w:cs="Times New Roman"/>
          <w:color w:val="auto"/>
          <w:kern w:val="0"/>
          <w:sz w:val="32"/>
          <w:szCs w:val="30"/>
          <w:lang w:val="en-US" w:eastAsia="zh-CN"/>
        </w:rPr>
        <w:t>18</w:t>
      </w:r>
      <w:r>
        <w:rPr>
          <w:rFonts w:hint="default" w:ascii="Times New Roman" w:hAnsi="Times New Roman" w:eastAsia="仿宋_GB2312" w:cs="Times New Roman"/>
          <w:color w:val="auto"/>
          <w:kern w:val="0"/>
          <w:sz w:val="32"/>
          <w:szCs w:val="30"/>
        </w:rPr>
        <w:t xml:space="preserve">日 </w:t>
      </w:r>
    </w:p>
    <w:p>
      <w:pPr>
        <w:widowControl/>
        <w:adjustRightInd w:val="0"/>
        <w:snapToGrid w:val="0"/>
        <w:spacing w:line="360" w:lineRule="auto"/>
        <w:jc w:val="both"/>
        <w:outlineLvl w:val="1"/>
        <w:rPr>
          <w:rFonts w:ascii="仿宋" w:hAnsi="仿宋" w:eastAsia="仿宋" w:cs="Times New Roman"/>
          <w:b/>
          <w:bCs/>
          <w:color w:val="auto"/>
          <w:kern w:val="36"/>
          <w:sz w:val="32"/>
          <w:szCs w:val="30"/>
        </w:rPr>
      </w:pPr>
    </w:p>
    <w:p>
      <w:pPr>
        <w:widowControl/>
        <w:jc w:val="both"/>
        <w:rPr>
          <w:rFonts w:ascii="仿宋" w:hAnsi="仿宋" w:eastAsia="仿宋" w:cs="Times New Roman"/>
          <w:b/>
          <w:color w:val="auto"/>
          <w:kern w:val="0"/>
          <w:sz w:val="32"/>
          <w:szCs w:val="28"/>
        </w:rPr>
      </w:pPr>
      <w:r>
        <w:rPr>
          <w:rFonts w:ascii="仿宋" w:hAnsi="仿宋" w:eastAsia="仿宋" w:cs="Times New Roman"/>
          <w:b/>
          <w:color w:val="auto"/>
          <w:kern w:val="0"/>
          <w:sz w:val="32"/>
          <w:szCs w:val="28"/>
        </w:rPr>
        <w:br w:type="page"/>
      </w:r>
    </w:p>
    <w:p>
      <w:pPr>
        <w:pStyle w:val="24"/>
        <w:jc w:val="both"/>
        <w:rPr>
          <w:rFonts w:hint="default" w:ascii="方正小标宋简体" w:hAnsi="黑体" w:eastAsia="方正小标宋简体" w:cs="黑体"/>
          <w:color w:val="auto"/>
          <w:sz w:val="44"/>
          <w:szCs w:val="44"/>
          <w:lang w:val="en-US" w:eastAsia="zh-CN"/>
        </w:rPr>
      </w:pPr>
      <w:r>
        <w:rPr>
          <w:rFonts w:hint="eastAsia" w:ascii="方正小标宋简体" w:hAnsi="黑体" w:eastAsia="方正小标宋简体" w:cs="黑体"/>
          <w:color w:val="auto"/>
          <w:sz w:val="44"/>
          <w:szCs w:val="44"/>
        </w:rPr>
        <w:t>化学学院本科生奖学金综合测评方案</w:t>
      </w:r>
      <w:r>
        <w:rPr>
          <w:rFonts w:hint="eastAsia" w:ascii="方正小标宋简体" w:hAnsi="黑体" w:eastAsia="方正小标宋简体" w:cs="黑体"/>
          <w:color w:val="auto"/>
          <w:sz w:val="44"/>
          <w:szCs w:val="44"/>
          <w:lang w:eastAsia="zh-CN"/>
        </w:rPr>
        <w:t>（</w:t>
      </w:r>
      <w:r>
        <w:rPr>
          <w:rFonts w:hint="eastAsia" w:ascii="方正小标宋简体" w:hAnsi="黑体" w:eastAsia="方正小标宋简体" w:cs="黑体"/>
          <w:color w:val="auto"/>
          <w:sz w:val="44"/>
          <w:szCs w:val="44"/>
          <w:lang w:val="en-US" w:eastAsia="zh-CN"/>
        </w:rPr>
        <w:t>2121年版）</w:t>
      </w:r>
    </w:p>
    <w:p>
      <w:pPr>
        <w:ind w:right="624" w:firstLine="645"/>
        <w:jc w:val="both"/>
        <w:rPr>
          <w:rFonts w:hint="eastAsia" w:ascii="仿宋_GB2312" w:hAnsi="宋体" w:eastAsia="仿宋_GB2312" w:cs="宋体"/>
          <w:color w:val="auto"/>
          <w:sz w:val="32"/>
          <w:szCs w:val="32"/>
        </w:rPr>
      </w:pPr>
      <w:bookmarkStart w:id="0" w:name="OLE_LINK1"/>
      <w:bookmarkStart w:id="1" w:name="OLE_LINK2"/>
    </w:p>
    <w:p>
      <w:pPr>
        <w:ind w:right="624" w:firstLine="645"/>
        <w:jc w:val="both"/>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为了更好地贯彻国家教育《普通高等学校学生管理规定》，鼓励学生奋发向上，刻苦学习，提升学术能力，拓宽学术视野，促进德、智、体全面发展，培养“德才兼备，领袖气质，家国情怀”的中大学子，结合我院实际情况，特制定本方案</w:t>
      </w:r>
      <w:r>
        <w:rPr>
          <w:rFonts w:hint="eastAsia" w:ascii="仿宋_GB2312" w:hAnsi="宋体" w:eastAsia="仿宋_GB2312" w:cs="宋体"/>
          <w:color w:val="auto"/>
          <w:sz w:val="32"/>
          <w:szCs w:val="32"/>
          <w:lang w:eastAsia="zh-CN"/>
        </w:rPr>
        <w:t>。</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一、学生参加奖学金评定的成绩由学生的“课程成绩”、“科研成绩”以及“附加分”三部分组成：</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即：综合测评成绩=学业成绩（课程成绩+科研成绩）+ 附加分</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一）</w:t>
      </w:r>
      <w:r>
        <w:rPr>
          <w:rFonts w:hint="eastAsia" w:ascii="仿宋_GB2312" w:hAnsi="宋体" w:eastAsia="仿宋_GB2312" w:cs="宋体"/>
          <w:color w:val="auto"/>
          <w:sz w:val="32"/>
          <w:szCs w:val="32"/>
        </w:rPr>
        <w:t>课程成绩：按照教务系统上的必修、专业选修课程的平均绩点（系统导出至小数点后四位）为课程成绩；</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二）</w:t>
      </w:r>
      <w:r>
        <w:rPr>
          <w:rFonts w:hint="eastAsia" w:ascii="仿宋_GB2312" w:hAnsi="宋体" w:eastAsia="仿宋_GB2312" w:cs="宋体"/>
          <w:color w:val="auto"/>
          <w:sz w:val="32"/>
          <w:szCs w:val="32"/>
        </w:rPr>
        <w:t>科研成绩：包括学生当年发表学术论文、专利情况；参与和化学专业相关的学术竞赛情况；参加科研训练情况、主持科研项目情况以及参与学术会议的情况等，评定标准详见附表2，科研加分不设上限；</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三）</w:t>
      </w:r>
      <w:r>
        <w:rPr>
          <w:rFonts w:hint="eastAsia" w:ascii="仿宋_GB2312" w:hAnsi="宋体" w:eastAsia="仿宋_GB2312" w:cs="宋体"/>
          <w:color w:val="auto"/>
          <w:sz w:val="32"/>
          <w:szCs w:val="32"/>
        </w:rPr>
        <w:t>附加分：即学生在思想道德品质、社会工作及文艺体育等方面的综合测评加分，加分标准详见附表1、附表3、附表4、附表5及附表6，附加分以学生本人课程成绩的20%（含）为上限；</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四）</w:t>
      </w:r>
      <w:r>
        <w:rPr>
          <w:rFonts w:hint="eastAsia" w:ascii="仿宋_GB2312" w:hAnsi="宋体" w:eastAsia="仿宋_GB2312" w:cs="宋体"/>
          <w:color w:val="auto"/>
          <w:sz w:val="32"/>
          <w:szCs w:val="32"/>
        </w:rPr>
        <w:t>综合测评成绩的排序，大一、大二年度的评审以年级为单位，大三年度的评审以专业为单位进行排序。各年级各类奖学金具体推荐名额、名单由学院学生资助评审工作小组讨论后决定。</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五）</w:t>
      </w:r>
      <w:r>
        <w:rPr>
          <w:rFonts w:hint="eastAsia" w:ascii="仿宋_GB2312" w:hAnsi="宋体" w:eastAsia="仿宋_GB2312" w:cs="宋体"/>
          <w:color w:val="auto"/>
          <w:sz w:val="32"/>
          <w:szCs w:val="32"/>
        </w:rPr>
        <w:t>课程成绩绩点达到各专业平均绩点以上，通过科研成绩和附加分前进的名次不设上限；课程成绩绩点未达到各专业平均水平，通过科研成绩和附加分前进的名次不能超过各专业人数的10%</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六）</w:t>
      </w:r>
      <w:r>
        <w:rPr>
          <w:rFonts w:hint="eastAsia" w:ascii="仿宋_GB2312" w:hAnsi="宋体" w:eastAsia="仿宋_GB2312" w:cs="宋体"/>
          <w:color w:val="auto"/>
          <w:sz w:val="32"/>
          <w:szCs w:val="32"/>
        </w:rPr>
        <w:t>科研成绩和附加分之计算时间范围是一学年，具体时间范围以当年学院通知为准。</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二、综合素质测评指标分为必达和选达，未达到必达指标要求或因违反必达指标规定而受到学院通报批评或学校处分者，取消本学年奖学金评选资格。</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三、校级优秀学生奖学金等级评定资格</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综合测评总成绩在各专业排名前8%，具备校级优秀学生一等奖学金的评定资格；综合测评总成绩在各专业排名前20%，具备校级优秀学生二等奖学金的评定资格；综合测评总成绩在各专业排名前50%，具备校级优秀学生三等奖学金的评定资格。</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四、奖学金评定程序</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一）</w:t>
      </w:r>
      <w:r>
        <w:rPr>
          <w:rFonts w:hint="eastAsia" w:ascii="仿宋_GB2312" w:hAnsi="宋体" w:eastAsia="仿宋_GB2312" w:cs="宋体"/>
          <w:color w:val="auto"/>
          <w:sz w:val="32"/>
          <w:szCs w:val="32"/>
        </w:rPr>
        <w:t xml:space="preserve">在院学生工作部指导下，各班成立由班委、普通学生代表（2人，需为不参与评选奖学金者）等人组成的班级评审小组，在班主任的具体指导下开展本班课程成绩、科研成绩及附加分核算事宜。评选小组成员名单上报学工部，由学工部统一公示。 </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二）</w:t>
      </w:r>
      <w:r>
        <w:rPr>
          <w:rFonts w:hint="eastAsia" w:ascii="仿宋_GB2312" w:hAnsi="宋体" w:eastAsia="仿宋_GB2312" w:cs="宋体"/>
          <w:color w:val="auto"/>
          <w:sz w:val="32"/>
          <w:szCs w:val="32"/>
        </w:rPr>
        <w:t>班级评审小组在规定时间内收集齐本班同学的科研成绩和附加分申请及相关材料，相关材料和审核结果在班级内公示三天，公示无异议经签名确认（包括没有申请加分者）后报学工部。逾期未向本班评审小组提交申请材料的，视为放弃科研成绩和附加分权利，科研成绩和附加分均记为0分。</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三）</w:t>
      </w:r>
      <w:r>
        <w:rPr>
          <w:rFonts w:hint="eastAsia" w:ascii="仿宋_GB2312" w:hAnsi="宋体" w:eastAsia="仿宋_GB2312" w:cs="宋体"/>
          <w:color w:val="auto"/>
          <w:sz w:val="32"/>
          <w:szCs w:val="32"/>
        </w:rPr>
        <w:t>成立年级评审小组，小组成员包括：</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年级辅导员；</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该年级班主任代表；</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年级长；</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本年级班级评审小组组长。年级评审小组对课程成绩，班级评审小组上报的科研成绩和附加分情况进行复核，审核无误后，由每位小组成员签名确认，并在年级内公示三天。如公示期内异议被采纳，结果进行相应的更正并重新公示。</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四）</w:t>
      </w:r>
      <w:r>
        <w:rPr>
          <w:rFonts w:hint="eastAsia" w:ascii="仿宋_GB2312" w:hAnsi="宋体" w:eastAsia="仿宋_GB2312" w:cs="宋体"/>
          <w:color w:val="auto"/>
          <w:sz w:val="32"/>
          <w:szCs w:val="32"/>
        </w:rPr>
        <w:t>各年级评审小组在规定时间内将每学年的综合测评成绩及排名制表上交学工部，由学院学生资助评审工作小组审核后公示综合测评成绩排名。</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五）</w:t>
      </w:r>
      <w:r>
        <w:rPr>
          <w:rFonts w:hint="eastAsia" w:ascii="仿宋_GB2312" w:hAnsi="宋体" w:eastAsia="仿宋_GB2312" w:cs="宋体"/>
          <w:color w:val="auto"/>
          <w:sz w:val="32"/>
          <w:szCs w:val="32"/>
        </w:rPr>
        <w:t>学院成立学生资助评审工作小组，小组成员包括：学院主管学生工作的学院领导、主管教学工作的学院领导、辅导员、班主任代表和学生代表等。学院学生资助评审工作小组根据学校下达的奖项、名额、工作要求等，确定奖项和名额分配方案，结合综合测评成绩排名以及各类奖学金的要求，进行推荐和评审，并将推荐和评审结果公示，公示期为三个工作日。公示期结束无异议或异议不被采纳的，将结果上报学校。</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五、综合测评工作复议制度如下：班级公示期间，由班级评选小组负责收集和回复异议或问题，不能确定的上报年级评选小组；年级内部公示期间，由年级评选小组负责收集和回复异议或问题，不能确定的上报学院学生资助评审工作小组审议决定。</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六、原则上，学院捐赠奖学金与学校各项奖学金进行同步评选，获得校级优秀学生奖学金的同学，根据参评总成绩排名，可同时获得学校或学院的捐赠奖学金。但各类捐赠奖学金不予重复评选，即只能获得一项（专项奖学金中的学术创新奖、道德风尚奖、学科竞赛奖、文体艺术奖除外）。具体规定见《中山大学本科生奖学金管理办法》。</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七、几类情况特殊学生奖学金评选</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一）</w:t>
      </w:r>
      <w:r>
        <w:rPr>
          <w:rFonts w:hint="eastAsia" w:ascii="仿宋_GB2312" w:hAnsi="宋体" w:eastAsia="仿宋_GB2312" w:cs="宋体"/>
          <w:color w:val="auto"/>
          <w:sz w:val="32"/>
          <w:szCs w:val="32"/>
        </w:rPr>
        <w:t>转专业的学生</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对在上一学年转专业的学生，主要在原专业学习并参加考试的，返回原专业参评奖学金；对于第二学期转专业的学生，如生物技术与应用专业的学生，第一学年参评成绩科目应包括第一学期在原专业所学科目及第二学期在转入专业的所学科目，补修学科计入补修学年的参评加权成绩；</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二）</w:t>
      </w:r>
      <w:r>
        <w:rPr>
          <w:rFonts w:hint="eastAsia" w:ascii="仿宋_GB2312" w:hAnsi="宋体" w:eastAsia="仿宋_GB2312" w:cs="宋体"/>
          <w:color w:val="auto"/>
          <w:sz w:val="32"/>
          <w:szCs w:val="32"/>
        </w:rPr>
        <w:t>境内、外交换生</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学籍在我校的交换生因接受交换学校的原因未能在9月奖学金评选前完成全部学分转换的，且满足下列条件的，可参评针对交换生的优秀学生奖学金：</w:t>
      </w:r>
    </w:p>
    <w:p>
      <w:pPr>
        <w:ind w:right="624" w:firstLine="640" w:firstLineChars="200"/>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申请参评时，已完成全部交换学习学分的转换；</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遵守交换学校的各项规章制度。</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交换生参评中山大学优秀学生奖学金依据申请者参评奖学金学年度的综合测评成绩在奖学金评选单位的排名确定其获奖等级。申请参评学生的综合测评成绩等于或者超过奖学金评选单位某等级优秀学生奖学金综合测评成绩的最低成绩，可申请获得同等级优秀学生奖学金。</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注：此项只适用于参评校优秀学生奖学金，错过国家奖学金、国家励志奖学金和捐赠奖学金评选时间的不再参评国家奖学金、国家励志奖学金和捐赠奖学金；在计算优秀奖学金获奖人数百分比的时候，应排除不能在9月奖学金评选前完成全部学分转换的交换生人数（此类交换生如果评上奖学金，不占用所在院系校内优秀奖学金评选名额）；交换生不能只以一个学期的成绩参评。</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三）</w:t>
      </w:r>
      <w:r>
        <w:rPr>
          <w:rFonts w:hint="eastAsia" w:ascii="仿宋_GB2312" w:hAnsi="宋体" w:eastAsia="仿宋_GB2312" w:cs="宋体"/>
          <w:color w:val="auto"/>
          <w:sz w:val="32"/>
          <w:szCs w:val="32"/>
        </w:rPr>
        <w:t>有缓考科目的学生</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经教务部门负责批准的缓考学生，且缓考科目不超过应考科目的50%者，可以用已参加的考试科目成绩参评奖学金，其缓考的成绩列入下学年度奖学金评选。缓考科目超过应考科目的50%者，可申请参与下次或者下一学年度奖学金的评选。</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八、如有加分项目未在本方案所规定范围内，则由学生本人提出相关证明材料上交学工部由学院学生资助评审工作小组讨论决定相关加分事宜。</w:t>
      </w:r>
    </w:p>
    <w:p>
      <w:pPr>
        <w:ind w:right="624" w:firstLine="645"/>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九、本方案解释权归化学学院学生工作部。</w:t>
      </w:r>
    </w:p>
    <w:p>
      <w:pPr>
        <w:ind w:right="624" w:firstLine="645"/>
        <w:jc w:val="both"/>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十、本方案经学院党政联席讨论通过，自公布之日起施行。</w:t>
      </w:r>
    </w:p>
    <w:p>
      <w:pPr>
        <w:ind w:right="624" w:firstLine="645"/>
        <w:jc w:val="both"/>
        <w:rPr>
          <w:rFonts w:hint="eastAsia" w:ascii="仿宋_GB2312" w:hAnsi="宋体" w:eastAsia="仿宋_GB2312" w:cs="宋体"/>
          <w:color w:val="auto"/>
          <w:sz w:val="32"/>
          <w:szCs w:val="32"/>
        </w:rPr>
      </w:pPr>
    </w:p>
    <w:p>
      <w:pPr>
        <w:ind w:right="624" w:firstLine="645"/>
        <w:jc w:val="both"/>
        <w:rPr>
          <w:color w:val="auto"/>
          <w:szCs w:val="32"/>
        </w:rPr>
      </w:pPr>
      <w:r>
        <w:rPr>
          <w:rFonts w:hint="eastAsia" w:ascii="仿宋_GB2312" w:hAnsi="宋体" w:eastAsia="仿宋_GB2312" w:cs="宋体"/>
          <w:color w:val="auto"/>
          <w:sz w:val="32"/>
          <w:szCs w:val="32"/>
        </w:rPr>
        <w:t>附件：综合测评成绩计算分值标准</w:t>
      </w: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pStyle w:val="2"/>
        <w:pageBreakBefore w:val="0"/>
        <w:widowControl w:val="0"/>
        <w:kinsoku/>
        <w:wordWrap/>
        <w:overflowPunct/>
        <w:topLinePunct w:val="0"/>
        <w:autoSpaceDE/>
        <w:autoSpaceDN/>
        <w:bidi w:val="0"/>
        <w:adjustRightInd/>
        <w:snapToGrid/>
        <w:spacing w:line="360" w:lineRule="auto"/>
        <w:textAlignment w:val="auto"/>
        <w:rPr>
          <w:color w:val="auto"/>
          <w:sz w:val="28"/>
          <w:szCs w:val="48"/>
        </w:rPr>
      </w:pPr>
      <w:r>
        <w:rPr>
          <w:rFonts w:hint="eastAsia"/>
          <w:color w:val="auto"/>
          <w:sz w:val="28"/>
          <w:szCs w:val="48"/>
        </w:rPr>
        <w:t>附件</w:t>
      </w:r>
    </w:p>
    <w:p>
      <w:pPr>
        <w:pageBreakBefore w:val="0"/>
        <w:widowControl w:val="0"/>
        <w:kinsoku/>
        <w:wordWrap/>
        <w:overflowPunct/>
        <w:topLinePunct w:val="0"/>
        <w:autoSpaceDE/>
        <w:autoSpaceDN/>
        <w:bidi w:val="0"/>
        <w:adjustRightInd/>
        <w:snapToGrid/>
        <w:spacing w:line="360" w:lineRule="auto"/>
        <w:jc w:val="center"/>
        <w:textAlignment w:val="auto"/>
        <w:rPr>
          <w:rFonts w:eastAsia="华文宋体" w:asciiTheme="majorHAnsi" w:hAnsiTheme="majorHAnsi" w:cstheme="majorBidi"/>
          <w:b/>
          <w:bCs/>
          <w:color w:val="auto"/>
          <w:sz w:val="28"/>
          <w:szCs w:val="36"/>
        </w:rPr>
      </w:pPr>
      <w:r>
        <w:rPr>
          <w:rFonts w:hint="eastAsia" w:eastAsia="华文宋体" w:asciiTheme="majorHAnsi" w:hAnsiTheme="majorHAnsi" w:cstheme="majorBidi"/>
          <w:b/>
          <w:bCs/>
          <w:color w:val="auto"/>
          <w:sz w:val="28"/>
          <w:szCs w:val="36"/>
        </w:rPr>
        <w:t>综合测评成绩计算分值标准</w:t>
      </w:r>
    </w:p>
    <w:p>
      <w:pPr>
        <w:pStyle w:val="2"/>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w:t>
      </w:r>
      <w:r>
        <w:rPr>
          <w:color w:val="auto"/>
        </w:rPr>
        <w:t>德才兼备</w:t>
      </w:r>
    </w:p>
    <w:p>
      <w:pPr>
        <w:pStyle w:val="3"/>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w:t>
      </w:r>
      <w:r>
        <w:rPr>
          <w:color w:val="auto"/>
        </w:rPr>
        <w:t>理想信念</w:t>
      </w:r>
      <w:r>
        <w:rPr>
          <w:rFonts w:hint="eastAsia"/>
          <w:color w:val="auto"/>
        </w:rPr>
        <w:t>、</w:t>
      </w:r>
      <w:r>
        <w:rPr>
          <w:color w:val="auto"/>
        </w:rPr>
        <w:t>道德品行</w:t>
      </w:r>
      <w:r>
        <w:rPr>
          <w:rFonts w:hint="eastAsia"/>
          <w:color w:val="auto"/>
        </w:rPr>
        <w:t>（附表1）</w:t>
      </w:r>
    </w:p>
    <w:tbl>
      <w:tblPr>
        <w:tblStyle w:val="1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263"/>
        <w:gridCol w:w="1408"/>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gridSpan w:val="2"/>
          </w:tcPr>
          <w:p>
            <w:pPr>
              <w:spacing w:line="360" w:lineRule="auto"/>
              <w:jc w:val="center"/>
              <w:rPr>
                <w:b/>
                <w:color w:val="auto"/>
              </w:rPr>
            </w:pPr>
            <w:r>
              <w:rPr>
                <w:b/>
                <w:color w:val="auto"/>
              </w:rPr>
              <w:t>指标</w:t>
            </w:r>
          </w:p>
        </w:tc>
        <w:tc>
          <w:tcPr>
            <w:tcW w:w="1408" w:type="dxa"/>
            <w:vAlign w:val="center"/>
          </w:tcPr>
          <w:p>
            <w:pPr>
              <w:spacing w:line="360" w:lineRule="auto"/>
              <w:jc w:val="center"/>
              <w:rPr>
                <w:b/>
                <w:color w:val="auto"/>
              </w:rPr>
            </w:pPr>
            <w:r>
              <w:rPr>
                <w:b/>
                <w:color w:val="auto"/>
              </w:rPr>
              <w:t>分值</w:t>
            </w:r>
          </w:p>
        </w:tc>
        <w:tc>
          <w:tcPr>
            <w:tcW w:w="1405" w:type="dxa"/>
          </w:tcPr>
          <w:p>
            <w:pPr>
              <w:spacing w:line="360" w:lineRule="auto"/>
              <w:jc w:val="center"/>
              <w:rPr>
                <w:b/>
                <w:color w:val="auto"/>
              </w:rPr>
            </w:pPr>
            <w:r>
              <w:rPr>
                <w:rFonts w:hint="eastAsia"/>
                <w:b/>
                <w:color w:val="auto"/>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restart"/>
            <w:vAlign w:val="center"/>
          </w:tcPr>
          <w:p>
            <w:pPr>
              <w:spacing w:line="360" w:lineRule="auto"/>
              <w:jc w:val="center"/>
              <w:rPr>
                <w:b/>
                <w:color w:val="auto"/>
              </w:rPr>
            </w:pPr>
            <w:bookmarkStart w:id="2" w:name="_Hlk495502268"/>
            <w:r>
              <w:rPr>
                <w:rFonts w:hint="eastAsia"/>
                <w:b/>
                <w:color w:val="auto"/>
              </w:rPr>
              <w:t>思想政治素质</w:t>
            </w:r>
          </w:p>
        </w:tc>
        <w:tc>
          <w:tcPr>
            <w:tcW w:w="5263" w:type="dxa"/>
            <w:vAlign w:val="center"/>
          </w:tcPr>
          <w:p>
            <w:pPr>
              <w:spacing w:line="360" w:lineRule="auto"/>
              <w:rPr>
                <w:color w:val="auto"/>
              </w:rPr>
            </w:pPr>
            <w:r>
              <w:rPr>
                <w:rFonts w:hint="eastAsia"/>
                <w:color w:val="auto"/>
              </w:rPr>
              <w:t>拥护中国共产党领导，拥护党的路线方针政策</w:t>
            </w:r>
          </w:p>
        </w:tc>
        <w:tc>
          <w:tcPr>
            <w:tcW w:w="1408" w:type="dxa"/>
            <w:vMerge w:val="restart"/>
            <w:vAlign w:val="center"/>
          </w:tcPr>
          <w:p>
            <w:pPr>
              <w:spacing w:line="360" w:lineRule="auto"/>
              <w:jc w:val="center"/>
              <w:rPr>
                <w:color w:val="auto"/>
              </w:rPr>
            </w:pPr>
            <w:r>
              <w:rPr>
                <w:rFonts w:hint="eastAsia"/>
                <w:color w:val="auto"/>
              </w:rPr>
              <w:t>/</w:t>
            </w:r>
          </w:p>
        </w:tc>
        <w:tc>
          <w:tcPr>
            <w:tcW w:w="1405" w:type="dxa"/>
            <w:vMerge w:val="restart"/>
            <w:vAlign w:val="center"/>
          </w:tcPr>
          <w:p>
            <w:pPr>
              <w:spacing w:line="360" w:lineRule="auto"/>
              <w:jc w:val="center"/>
              <w:rPr>
                <w:color w:val="auto"/>
              </w:rPr>
            </w:pPr>
            <w:r>
              <w:rPr>
                <w:rFonts w:hint="eastAsia"/>
                <w:color w:val="auto"/>
              </w:rPr>
              <w:t>必达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spacing w:line="360" w:lineRule="auto"/>
              <w:jc w:val="center"/>
              <w:rPr>
                <w:b/>
                <w:color w:val="auto"/>
              </w:rPr>
            </w:pPr>
          </w:p>
        </w:tc>
        <w:tc>
          <w:tcPr>
            <w:tcW w:w="5263" w:type="dxa"/>
          </w:tcPr>
          <w:p>
            <w:pPr>
              <w:spacing w:line="360" w:lineRule="auto"/>
              <w:rPr>
                <w:color w:val="auto"/>
              </w:rPr>
            </w:pPr>
            <w:r>
              <w:rPr>
                <w:rFonts w:hint="eastAsia"/>
                <w:color w:val="auto"/>
              </w:rPr>
              <w:t>有正确的世界观、人生观和价值观</w:t>
            </w:r>
          </w:p>
        </w:tc>
        <w:tc>
          <w:tcPr>
            <w:tcW w:w="1408" w:type="dxa"/>
            <w:vMerge w:val="continue"/>
            <w:vAlign w:val="center"/>
          </w:tcPr>
          <w:p>
            <w:pPr>
              <w:spacing w:line="360" w:lineRule="auto"/>
              <w:jc w:val="center"/>
              <w:rPr>
                <w:color w:val="auto"/>
              </w:rPr>
            </w:pPr>
          </w:p>
        </w:tc>
        <w:tc>
          <w:tcPr>
            <w:tcW w:w="1405" w:type="dxa"/>
            <w:vMerge w:val="continue"/>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tcPr>
          <w:p>
            <w:pPr>
              <w:spacing w:line="360" w:lineRule="auto"/>
              <w:rPr>
                <w:b/>
                <w:color w:val="auto"/>
              </w:rPr>
            </w:pPr>
          </w:p>
        </w:tc>
        <w:tc>
          <w:tcPr>
            <w:tcW w:w="5263" w:type="dxa"/>
          </w:tcPr>
          <w:p>
            <w:pPr>
              <w:spacing w:line="360" w:lineRule="auto"/>
              <w:rPr>
                <w:color w:val="auto"/>
              </w:rPr>
            </w:pPr>
            <w:r>
              <w:rPr>
                <w:rFonts w:hint="eastAsia"/>
                <w:color w:val="auto"/>
              </w:rPr>
              <w:t>践行民族团结精神、践行社会主义核心价值</w:t>
            </w:r>
          </w:p>
        </w:tc>
        <w:tc>
          <w:tcPr>
            <w:tcW w:w="1408" w:type="dxa"/>
            <w:vMerge w:val="continue"/>
            <w:vAlign w:val="center"/>
          </w:tcPr>
          <w:p>
            <w:pPr>
              <w:spacing w:line="360" w:lineRule="auto"/>
              <w:jc w:val="center"/>
              <w:rPr>
                <w:color w:val="auto"/>
              </w:rPr>
            </w:pPr>
          </w:p>
        </w:tc>
        <w:tc>
          <w:tcPr>
            <w:tcW w:w="1405" w:type="dxa"/>
            <w:vMerge w:val="continue"/>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restart"/>
            <w:vAlign w:val="center"/>
          </w:tcPr>
          <w:p>
            <w:pPr>
              <w:spacing w:line="360" w:lineRule="auto"/>
              <w:jc w:val="center"/>
              <w:rPr>
                <w:b/>
                <w:color w:val="auto"/>
              </w:rPr>
            </w:pPr>
            <w:r>
              <w:rPr>
                <w:rFonts w:hint="eastAsia"/>
                <w:b/>
                <w:color w:val="auto"/>
              </w:rPr>
              <w:t>道德品行</w:t>
            </w:r>
          </w:p>
        </w:tc>
        <w:tc>
          <w:tcPr>
            <w:tcW w:w="5263" w:type="dxa"/>
            <w:vAlign w:val="center"/>
          </w:tcPr>
          <w:p>
            <w:pPr>
              <w:spacing w:line="360" w:lineRule="auto"/>
              <w:rPr>
                <w:color w:val="auto"/>
              </w:rPr>
            </w:pPr>
            <w:r>
              <w:rPr>
                <w:rFonts w:hint="eastAsia"/>
                <w:color w:val="auto"/>
              </w:rPr>
              <w:t>遵守公德，遵纪守法</w:t>
            </w:r>
          </w:p>
        </w:tc>
        <w:tc>
          <w:tcPr>
            <w:tcW w:w="1408" w:type="dxa"/>
            <w:vMerge w:val="continue"/>
            <w:vAlign w:val="center"/>
          </w:tcPr>
          <w:p>
            <w:pPr>
              <w:spacing w:line="360" w:lineRule="auto"/>
              <w:jc w:val="center"/>
              <w:rPr>
                <w:color w:val="auto"/>
              </w:rPr>
            </w:pPr>
          </w:p>
        </w:tc>
        <w:tc>
          <w:tcPr>
            <w:tcW w:w="1405" w:type="dxa"/>
            <w:vMerge w:val="continue"/>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spacing w:line="360" w:lineRule="auto"/>
              <w:jc w:val="center"/>
              <w:rPr>
                <w:b/>
                <w:color w:val="auto"/>
              </w:rPr>
            </w:pPr>
          </w:p>
        </w:tc>
        <w:tc>
          <w:tcPr>
            <w:tcW w:w="5263" w:type="dxa"/>
          </w:tcPr>
          <w:p>
            <w:pPr>
              <w:spacing w:line="360" w:lineRule="auto"/>
              <w:rPr>
                <w:color w:val="auto"/>
              </w:rPr>
            </w:pPr>
            <w:r>
              <w:rPr>
                <w:rFonts w:hint="eastAsia"/>
                <w:color w:val="auto"/>
              </w:rPr>
              <w:t>诚实守信，注重文明礼</w:t>
            </w:r>
          </w:p>
        </w:tc>
        <w:tc>
          <w:tcPr>
            <w:tcW w:w="1408" w:type="dxa"/>
            <w:vMerge w:val="continue"/>
            <w:vAlign w:val="center"/>
          </w:tcPr>
          <w:p>
            <w:pPr>
              <w:spacing w:line="360" w:lineRule="auto"/>
              <w:jc w:val="center"/>
              <w:rPr>
                <w:color w:val="auto"/>
              </w:rPr>
            </w:pPr>
          </w:p>
        </w:tc>
        <w:tc>
          <w:tcPr>
            <w:tcW w:w="1405" w:type="dxa"/>
            <w:vMerge w:val="continue"/>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spacing w:line="360" w:lineRule="auto"/>
              <w:jc w:val="center"/>
              <w:rPr>
                <w:b/>
                <w:color w:val="auto"/>
              </w:rPr>
            </w:pPr>
          </w:p>
        </w:tc>
        <w:tc>
          <w:tcPr>
            <w:tcW w:w="5263" w:type="dxa"/>
          </w:tcPr>
          <w:p>
            <w:pPr>
              <w:spacing w:line="360" w:lineRule="auto"/>
              <w:rPr>
                <w:color w:val="auto"/>
              </w:rPr>
            </w:pPr>
            <w:r>
              <w:rPr>
                <w:rFonts w:hint="eastAsia"/>
                <w:color w:val="auto"/>
              </w:rPr>
              <w:t>未发生学术</w:t>
            </w:r>
            <w:r>
              <w:rPr>
                <w:color w:val="auto"/>
              </w:rPr>
              <w:t>不端行为，未发生违反考试纪律</w:t>
            </w:r>
            <w:r>
              <w:rPr>
                <w:rFonts w:hint="eastAsia"/>
                <w:color w:val="auto"/>
              </w:rPr>
              <w:t>的行为</w:t>
            </w:r>
          </w:p>
        </w:tc>
        <w:tc>
          <w:tcPr>
            <w:tcW w:w="1408" w:type="dxa"/>
            <w:vMerge w:val="continue"/>
            <w:vAlign w:val="center"/>
          </w:tcPr>
          <w:p>
            <w:pPr>
              <w:spacing w:line="360" w:lineRule="auto"/>
              <w:jc w:val="center"/>
              <w:rPr>
                <w:color w:val="auto"/>
              </w:rPr>
            </w:pPr>
          </w:p>
        </w:tc>
        <w:tc>
          <w:tcPr>
            <w:tcW w:w="1405" w:type="dxa"/>
            <w:vMerge w:val="continue"/>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spacing w:line="360" w:lineRule="auto"/>
              <w:jc w:val="center"/>
              <w:rPr>
                <w:b/>
                <w:color w:val="auto"/>
              </w:rPr>
            </w:pPr>
          </w:p>
        </w:tc>
        <w:tc>
          <w:tcPr>
            <w:tcW w:w="5263" w:type="dxa"/>
          </w:tcPr>
          <w:p>
            <w:pPr>
              <w:spacing w:line="360" w:lineRule="auto"/>
              <w:rPr>
                <w:color w:val="auto"/>
              </w:rPr>
            </w:pPr>
            <w:r>
              <w:rPr>
                <w:rFonts w:hint="eastAsia"/>
                <w:color w:val="auto"/>
              </w:rPr>
              <w:t>不迟到、不旷课、不晚归、遵守实验室安全守则，遵守《中山大学学生宿舍管理办法》</w:t>
            </w:r>
          </w:p>
        </w:tc>
        <w:tc>
          <w:tcPr>
            <w:tcW w:w="1408" w:type="dxa"/>
            <w:vMerge w:val="continue"/>
            <w:vAlign w:val="center"/>
          </w:tcPr>
          <w:p>
            <w:pPr>
              <w:spacing w:line="360" w:lineRule="auto"/>
              <w:jc w:val="center"/>
              <w:rPr>
                <w:color w:val="auto"/>
              </w:rPr>
            </w:pPr>
          </w:p>
        </w:tc>
        <w:tc>
          <w:tcPr>
            <w:tcW w:w="1405" w:type="dxa"/>
            <w:vMerge w:val="continue"/>
            <w:vAlign w:val="center"/>
          </w:tcPr>
          <w:p>
            <w:pPr>
              <w:spacing w:line="360" w:lineRule="auto"/>
              <w:jc w:val="center"/>
              <w:rPr>
                <w:color w:val="auto"/>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spacing w:line="360" w:lineRule="auto"/>
              <w:jc w:val="center"/>
              <w:rPr>
                <w:b/>
                <w:color w:val="auto"/>
              </w:rPr>
            </w:pPr>
          </w:p>
        </w:tc>
        <w:tc>
          <w:tcPr>
            <w:tcW w:w="5263" w:type="dxa"/>
          </w:tcPr>
          <w:p>
            <w:pPr>
              <w:spacing w:line="360" w:lineRule="auto"/>
              <w:rPr>
                <w:color w:val="auto"/>
              </w:rPr>
            </w:pPr>
            <w:r>
              <w:rPr>
                <w:rFonts w:hint="eastAsia"/>
                <w:color w:val="auto"/>
              </w:rPr>
              <w:t>见义勇为，勇斗歹徒，舍已救人，拾金不昧受到有关部门表彰者</w:t>
            </w:r>
          </w:p>
        </w:tc>
        <w:tc>
          <w:tcPr>
            <w:tcW w:w="1408" w:type="dxa"/>
            <w:vAlign w:val="center"/>
          </w:tcPr>
          <w:p>
            <w:pPr>
              <w:spacing w:line="360" w:lineRule="auto"/>
              <w:jc w:val="center"/>
              <w:rPr>
                <w:color w:val="auto"/>
              </w:rPr>
            </w:pPr>
            <w:r>
              <w:rPr>
                <w:rFonts w:hint="eastAsia"/>
                <w:color w:val="auto"/>
              </w:rPr>
              <w:t>0.5</w:t>
            </w:r>
            <w:r>
              <w:rPr>
                <w:color w:val="auto"/>
              </w:rPr>
              <w:t xml:space="preserve">-0.01 </w:t>
            </w:r>
          </w:p>
        </w:tc>
        <w:tc>
          <w:tcPr>
            <w:tcW w:w="1405" w:type="dxa"/>
            <w:vAlign w:val="center"/>
          </w:tcPr>
          <w:p>
            <w:pPr>
              <w:spacing w:line="360" w:lineRule="auto"/>
              <w:jc w:val="center"/>
              <w:rPr>
                <w:color w:val="auto"/>
              </w:rPr>
            </w:pPr>
            <w:r>
              <w:rPr>
                <w:rFonts w:hint="eastAsia"/>
                <w:color w:val="auto"/>
              </w:rPr>
              <w:t>选达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Align w:val="center"/>
          </w:tcPr>
          <w:p>
            <w:pPr>
              <w:spacing w:line="360" w:lineRule="auto"/>
              <w:jc w:val="center"/>
              <w:rPr>
                <w:b/>
                <w:color w:val="auto"/>
              </w:rPr>
            </w:pPr>
            <w:r>
              <w:rPr>
                <w:rFonts w:hint="eastAsia"/>
                <w:b/>
                <w:color w:val="auto"/>
              </w:rPr>
              <w:t>说  明</w:t>
            </w:r>
          </w:p>
        </w:tc>
        <w:tc>
          <w:tcPr>
            <w:tcW w:w="8076" w:type="dxa"/>
            <w:gridSpan w:val="3"/>
            <w:vAlign w:val="center"/>
          </w:tcPr>
          <w:p>
            <w:pPr>
              <w:spacing w:line="360" w:lineRule="auto"/>
              <w:rPr>
                <w:color w:val="auto"/>
              </w:rPr>
            </w:pPr>
            <w:r>
              <w:rPr>
                <w:color w:val="auto"/>
              </w:rPr>
              <w:t>1</w:t>
            </w:r>
            <w:r>
              <w:rPr>
                <w:rFonts w:hint="eastAsia"/>
                <w:color w:val="auto"/>
              </w:rPr>
              <w:t>、凡属下列情况之一者，均不得参加本学年度奖学金评选：</w:t>
            </w:r>
          </w:p>
          <w:p>
            <w:pPr>
              <w:spacing w:line="360" w:lineRule="auto"/>
              <w:rPr>
                <w:color w:val="auto"/>
              </w:rPr>
            </w:pPr>
            <w:r>
              <w:rPr>
                <w:rFonts w:hint="eastAsia"/>
                <w:color w:val="auto"/>
              </w:rPr>
              <w:t>（1）</w:t>
            </w:r>
            <w:r>
              <w:rPr>
                <w:color w:val="auto"/>
              </w:rPr>
              <w:t>受到党、政、团通报批评(含院、系级)及纪律处分者；</w:t>
            </w:r>
          </w:p>
          <w:p>
            <w:pPr>
              <w:spacing w:line="360" w:lineRule="auto"/>
              <w:rPr>
                <w:color w:val="auto"/>
              </w:rPr>
            </w:pPr>
            <w:r>
              <w:rPr>
                <w:rFonts w:hint="eastAsia"/>
                <w:color w:val="auto"/>
              </w:rPr>
              <w:t>（2）</w:t>
            </w:r>
            <w:r>
              <w:rPr>
                <w:color w:val="auto"/>
              </w:rPr>
              <w:t>提交的参评材料弄虚作假（不属实、重复参评等）者，一经查实，取消当前参评奖学金资格</w:t>
            </w:r>
            <w:r>
              <w:rPr>
                <w:rFonts w:hint="eastAsia"/>
                <w:color w:val="auto"/>
              </w:rPr>
              <w:t>；（3）新生入学后，学院将针对学籍管理、实验室安全等相关学校、学院规范进行闭卷考试，第一次考试成绩不及格给予一次补考机会后仍不及格者；</w:t>
            </w:r>
          </w:p>
          <w:p>
            <w:pPr>
              <w:spacing w:line="360" w:lineRule="auto"/>
              <w:rPr>
                <w:color w:val="auto"/>
              </w:rPr>
            </w:pPr>
            <w:r>
              <w:rPr>
                <w:rFonts w:hint="eastAsia"/>
                <w:color w:val="auto"/>
              </w:rPr>
              <w:t>（4）教育部《普通高等学校学生管理规定》、《中山大学学生处分管理规定》中禁止的其他行为。</w:t>
            </w:r>
          </w:p>
          <w:p>
            <w:pPr>
              <w:spacing w:line="360" w:lineRule="auto"/>
              <w:rPr>
                <w:color w:val="auto"/>
              </w:rPr>
            </w:pPr>
            <w:r>
              <w:rPr>
                <w:rFonts w:hint="eastAsia"/>
                <w:color w:val="auto"/>
              </w:rPr>
              <w:t>2、参加各类比赛获奖的同学，若其活动时间算作公益时间，则不得再申请加分。</w:t>
            </w:r>
          </w:p>
        </w:tc>
      </w:tr>
    </w:tbl>
    <w:p>
      <w:pPr>
        <w:pStyle w:val="3"/>
        <w:rPr>
          <w:rFonts w:ascii="宋体" w:hAnsi="宋体"/>
          <w:color w:val="auto"/>
          <w:szCs w:val="21"/>
        </w:rPr>
      </w:pPr>
      <w:r>
        <w:rPr>
          <w:rFonts w:ascii="宋体" w:hAnsi="宋体"/>
          <w:color w:val="auto"/>
          <w:szCs w:val="21"/>
        </w:rPr>
        <w:br w:type="page"/>
      </w:r>
    </w:p>
    <w:p>
      <w:pPr>
        <w:pStyle w:val="3"/>
        <w:rPr>
          <w:color w:val="auto"/>
        </w:rPr>
      </w:pPr>
      <w:r>
        <w:rPr>
          <w:rFonts w:hint="eastAsia" w:ascii="宋体" w:hAnsi="宋体"/>
          <w:color w:val="auto"/>
          <w:szCs w:val="21"/>
        </w:rPr>
        <w:t>（二）</w:t>
      </w:r>
      <w:r>
        <w:rPr>
          <w:color w:val="auto"/>
        </w:rPr>
        <w:t>专业素养</w:t>
      </w:r>
      <w:r>
        <w:rPr>
          <w:rFonts w:hint="eastAsia"/>
          <w:color w:val="auto"/>
        </w:rPr>
        <w:t>（附表2）</w:t>
      </w:r>
    </w:p>
    <w:p>
      <w:pPr>
        <w:pStyle w:val="4"/>
        <w:spacing w:line="360" w:lineRule="auto"/>
        <w:rPr>
          <w:color w:val="auto"/>
        </w:rPr>
      </w:pPr>
      <w:r>
        <w:rPr>
          <w:rFonts w:hint="eastAsia"/>
          <w:color w:val="auto"/>
        </w:rPr>
        <w:t>1.课程学习（必达）</w:t>
      </w:r>
    </w:p>
    <w:p>
      <w:pPr>
        <w:spacing w:line="360" w:lineRule="auto"/>
        <w:ind w:firstLine="420" w:firstLineChars="200"/>
        <w:rPr>
          <w:color w:val="auto"/>
        </w:rPr>
      </w:pPr>
      <w:r>
        <w:rPr>
          <w:rFonts w:hint="eastAsia"/>
          <w:color w:val="auto"/>
        </w:rPr>
        <w:t>评选年度的所有专业必修课、专业选修课和公共必修课、公共选修课无不及格现象。</w:t>
      </w:r>
    </w:p>
    <w:p>
      <w:pPr>
        <w:pStyle w:val="4"/>
        <w:spacing w:line="360" w:lineRule="auto"/>
        <w:rPr>
          <w:color w:val="auto"/>
        </w:rPr>
      </w:pPr>
      <w:r>
        <w:rPr>
          <w:rFonts w:hint="eastAsia"/>
          <w:color w:val="auto"/>
        </w:rPr>
        <w:t>2.科研学习</w:t>
      </w:r>
    </w:p>
    <w:p>
      <w:pPr>
        <w:pStyle w:val="5"/>
        <w:spacing w:line="360" w:lineRule="auto"/>
        <w:rPr>
          <w:color w:val="auto"/>
        </w:rPr>
      </w:pPr>
      <w:r>
        <w:rPr>
          <w:rFonts w:hint="eastAsia"/>
          <w:color w:val="auto"/>
        </w:rPr>
        <w:t>（1）学术论坛（必达）</w:t>
      </w:r>
    </w:p>
    <w:p>
      <w:pPr>
        <w:spacing w:line="360" w:lineRule="auto"/>
        <w:ind w:firstLine="420" w:firstLineChars="200"/>
        <w:rPr>
          <w:rFonts w:hint="default" w:eastAsia="宋体"/>
          <w:color w:val="auto"/>
          <w:lang w:val="en-US" w:eastAsia="zh-CN"/>
        </w:rPr>
      </w:pPr>
      <w:r>
        <w:rPr>
          <w:rFonts w:hint="eastAsia"/>
          <w:color w:val="auto"/>
          <w:lang w:val="en-US" w:eastAsia="zh-CN"/>
        </w:rPr>
        <w:t>每学年</w:t>
      </w:r>
      <w:r>
        <w:rPr>
          <w:rFonts w:hint="eastAsia"/>
          <w:color w:val="auto"/>
        </w:rPr>
        <w:t>参与学术论坛</w:t>
      </w:r>
      <w:r>
        <w:rPr>
          <w:rFonts w:hint="eastAsia"/>
          <w:color w:val="auto"/>
          <w:lang w:val="en-US" w:eastAsia="zh-CN"/>
        </w:rPr>
        <w:t>/</w:t>
      </w:r>
      <w:r>
        <w:rPr>
          <w:rFonts w:hint="eastAsia"/>
          <w:color w:val="auto"/>
        </w:rPr>
        <w:t>讲座</w:t>
      </w:r>
      <w:r>
        <w:rPr>
          <w:rFonts w:hint="eastAsia"/>
          <w:color w:val="auto"/>
          <w:lang w:val="en-US" w:eastAsia="zh-CN"/>
        </w:rPr>
        <w:t>不少于5次</w:t>
      </w:r>
      <w:r>
        <w:rPr>
          <w:rFonts w:hint="eastAsia"/>
          <w:color w:val="auto"/>
        </w:rPr>
        <w:t>，</w:t>
      </w:r>
      <w:r>
        <w:rPr>
          <w:rFonts w:hint="eastAsia"/>
          <w:color w:val="auto"/>
          <w:lang w:val="en-US" w:eastAsia="zh-CN"/>
        </w:rPr>
        <w:t>其中与专业相关的不少于4次。同一时间段内的同一讲座/论坛只计算1次</w:t>
      </w:r>
      <w:r>
        <w:rPr>
          <w:color w:val="auto"/>
        </w:rPr>
        <w:t>。</w:t>
      </w:r>
      <w:r>
        <w:rPr>
          <w:rFonts w:hint="eastAsia"/>
          <w:color w:val="auto"/>
          <w:lang w:val="en-US" w:eastAsia="zh-CN"/>
        </w:rPr>
        <w:t>此处学术论坛/讲座以学校党委宣传部或学院党委审批的为准。</w:t>
      </w:r>
    </w:p>
    <w:p>
      <w:pPr>
        <w:pStyle w:val="5"/>
        <w:spacing w:line="360" w:lineRule="auto"/>
        <w:rPr>
          <w:color w:val="auto"/>
        </w:rPr>
      </w:pPr>
      <w:r>
        <w:rPr>
          <w:rFonts w:hint="eastAsia"/>
          <w:color w:val="auto"/>
        </w:rPr>
        <w:t>（2）</w:t>
      </w:r>
      <w:r>
        <w:rPr>
          <w:color w:val="auto"/>
        </w:rPr>
        <w:t>发表论文</w:t>
      </w:r>
      <w:r>
        <w:rPr>
          <w:rFonts w:hint="eastAsia"/>
          <w:color w:val="auto"/>
        </w:rPr>
        <w:t>（选达）</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538"/>
        <w:gridCol w:w="2214"/>
        <w:gridCol w:w="1466"/>
        <w:gridCol w:w="1319"/>
        <w:gridCol w:w="132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397" w:type="pct"/>
            <w:vAlign w:val="center"/>
          </w:tcPr>
          <w:p>
            <w:pPr>
              <w:spacing w:line="240" w:lineRule="auto"/>
              <w:jc w:val="both"/>
              <w:rPr>
                <w:rFonts w:ascii="宋体" w:hAnsi="宋体" w:cs="Times New Roman"/>
                <w:b/>
                <w:color w:val="auto"/>
                <w:szCs w:val="18"/>
              </w:rPr>
            </w:pPr>
            <w:r>
              <w:rPr>
                <w:rFonts w:hint="eastAsia" w:ascii="宋体" w:hAnsi="宋体" w:cs="Times New Roman"/>
                <w:b/>
                <w:color w:val="auto"/>
                <w:szCs w:val="18"/>
              </w:rPr>
              <w:t>论文发表刊物、分区与收录情况</w:t>
            </w:r>
          </w:p>
        </w:tc>
        <w:tc>
          <w:tcPr>
            <w:tcW w:w="772" w:type="pct"/>
            <w:vAlign w:val="center"/>
          </w:tcPr>
          <w:p>
            <w:pPr>
              <w:spacing w:line="360" w:lineRule="auto"/>
              <w:jc w:val="both"/>
              <w:rPr>
                <w:rFonts w:ascii="宋体" w:hAnsi="宋体" w:cs="Times New Roman"/>
                <w:b/>
                <w:color w:val="auto"/>
                <w:szCs w:val="18"/>
              </w:rPr>
            </w:pPr>
            <w:r>
              <w:rPr>
                <w:rFonts w:hint="eastAsia" w:ascii="宋体" w:hAnsi="宋体" w:cs="Times New Roman"/>
                <w:b/>
                <w:color w:val="auto"/>
                <w:szCs w:val="18"/>
              </w:rPr>
              <w:t>在</w:t>
            </w:r>
            <w:r>
              <w:rPr>
                <w:rFonts w:ascii="宋体" w:hAnsi="宋体" w:cs="Times New Roman"/>
                <w:b/>
                <w:color w:val="auto"/>
                <w:szCs w:val="18"/>
              </w:rPr>
              <w:t>Nature、Science</w:t>
            </w:r>
            <w:r>
              <w:rPr>
                <w:rFonts w:hint="eastAsia" w:ascii="宋体" w:hAnsi="宋体" w:cs="Times New Roman"/>
                <w:b/>
                <w:color w:val="auto"/>
                <w:szCs w:val="18"/>
              </w:rPr>
              <w:t>上发表论文</w:t>
            </w:r>
          </w:p>
        </w:tc>
        <w:tc>
          <w:tcPr>
            <w:tcW w:w="1111" w:type="pct"/>
            <w:vAlign w:val="center"/>
          </w:tcPr>
          <w:p>
            <w:pPr>
              <w:spacing w:line="240" w:lineRule="auto"/>
              <w:jc w:val="both"/>
              <w:rPr>
                <w:rFonts w:ascii="宋体" w:hAnsi="宋体" w:cs="Times New Roman"/>
                <w:b/>
                <w:color w:val="auto"/>
                <w:szCs w:val="18"/>
              </w:rPr>
            </w:pPr>
            <w:r>
              <w:rPr>
                <w:rFonts w:hint="eastAsia" w:ascii="宋体" w:hAnsi="宋体" w:cs="Times New Roman"/>
                <w:b/>
                <w:color w:val="auto"/>
                <w:szCs w:val="18"/>
              </w:rPr>
              <w:t>在</w:t>
            </w:r>
            <w:r>
              <w:rPr>
                <w:rFonts w:ascii="宋体" w:hAnsi="宋体" w:cs="Times New Roman"/>
                <w:b/>
                <w:color w:val="auto"/>
                <w:szCs w:val="18"/>
              </w:rPr>
              <w:t>Nature或Science子刊、美国化学会志、德国应用化学、先进材料，或与化学学科密切相关的其它</w:t>
            </w:r>
            <w:r>
              <w:rPr>
                <w:rFonts w:hint="eastAsia" w:ascii="宋体" w:hAnsi="宋体" w:cs="Times New Roman"/>
                <w:b/>
                <w:color w:val="auto"/>
                <w:szCs w:val="18"/>
                <w:lang w:val="en-US" w:eastAsia="zh-CN"/>
              </w:rPr>
              <w:t>高水平</w:t>
            </w:r>
            <w:r>
              <w:rPr>
                <w:rFonts w:ascii="宋体" w:hAnsi="宋体" w:cs="Times New Roman"/>
                <w:b/>
                <w:color w:val="auto"/>
                <w:szCs w:val="18"/>
              </w:rPr>
              <w:t>学术刊物</w:t>
            </w:r>
            <w:r>
              <w:rPr>
                <w:rFonts w:hint="eastAsia" w:ascii="宋体" w:hAnsi="宋体" w:cs="Times New Roman"/>
                <w:b/>
                <w:color w:val="auto"/>
                <w:szCs w:val="18"/>
              </w:rPr>
              <w:t>上发表论文</w:t>
            </w:r>
          </w:p>
        </w:tc>
        <w:tc>
          <w:tcPr>
            <w:tcW w:w="736" w:type="pct"/>
            <w:vAlign w:val="center"/>
          </w:tcPr>
          <w:p>
            <w:pPr>
              <w:spacing w:line="240" w:lineRule="auto"/>
              <w:jc w:val="both"/>
              <w:rPr>
                <w:rFonts w:ascii="宋体" w:hAnsi="宋体" w:cs="Times New Roman"/>
                <w:b/>
                <w:color w:val="auto"/>
                <w:szCs w:val="18"/>
              </w:rPr>
            </w:pPr>
            <w:r>
              <w:rPr>
                <w:rFonts w:hint="eastAsia" w:ascii="宋体" w:hAnsi="宋体" w:cs="Times New Roman"/>
                <w:b/>
                <w:color w:val="auto"/>
                <w:szCs w:val="18"/>
              </w:rPr>
              <w:t>在一区的刊物上发表论文，且论文被SCI收录</w:t>
            </w:r>
          </w:p>
        </w:tc>
        <w:tc>
          <w:tcPr>
            <w:tcW w:w="662" w:type="pct"/>
            <w:vAlign w:val="center"/>
          </w:tcPr>
          <w:p>
            <w:pPr>
              <w:spacing w:line="240" w:lineRule="auto"/>
              <w:jc w:val="both"/>
              <w:rPr>
                <w:rFonts w:hint="eastAsia" w:ascii="宋体" w:hAnsi="宋体" w:cs="Times New Roman"/>
                <w:b/>
                <w:color w:val="auto"/>
                <w:szCs w:val="18"/>
              </w:rPr>
            </w:pPr>
            <w:r>
              <w:rPr>
                <w:rFonts w:hint="eastAsia" w:ascii="宋体" w:hAnsi="宋体" w:cs="Times New Roman"/>
                <w:b/>
                <w:color w:val="auto"/>
                <w:szCs w:val="18"/>
              </w:rPr>
              <w:t>在二区的刊物上发表论文，且论文被SCI收录</w:t>
            </w:r>
          </w:p>
        </w:tc>
        <w:tc>
          <w:tcPr>
            <w:tcW w:w="663" w:type="pct"/>
            <w:vAlign w:val="center"/>
          </w:tcPr>
          <w:p>
            <w:pPr>
              <w:spacing w:line="240" w:lineRule="auto"/>
              <w:jc w:val="both"/>
              <w:rPr>
                <w:rFonts w:hint="eastAsia" w:ascii="宋体" w:hAnsi="宋体" w:cs="Times New Roman"/>
                <w:b/>
                <w:color w:val="auto"/>
                <w:szCs w:val="18"/>
              </w:rPr>
            </w:pPr>
            <w:r>
              <w:rPr>
                <w:rFonts w:hint="eastAsia" w:ascii="宋体" w:hAnsi="宋体" w:cs="Times New Roman"/>
                <w:b/>
                <w:color w:val="auto"/>
                <w:szCs w:val="18"/>
              </w:rPr>
              <w:t>在三区的刊物上发表论文，且论文被SCI收录</w:t>
            </w:r>
          </w:p>
        </w:tc>
        <w:tc>
          <w:tcPr>
            <w:tcW w:w="659" w:type="pct"/>
            <w:vAlign w:val="center"/>
          </w:tcPr>
          <w:p>
            <w:pPr>
              <w:spacing w:line="240" w:lineRule="auto"/>
              <w:jc w:val="both"/>
              <w:rPr>
                <w:rFonts w:ascii="宋体" w:hAnsi="宋体" w:cs="Times New Roman"/>
                <w:b/>
                <w:color w:val="auto"/>
                <w:szCs w:val="18"/>
              </w:rPr>
            </w:pPr>
            <w:r>
              <w:rPr>
                <w:rFonts w:hint="eastAsia" w:ascii="宋体" w:hAnsi="宋体" w:cs="Times New Roman"/>
                <w:b/>
                <w:color w:val="auto"/>
                <w:szCs w:val="18"/>
              </w:rPr>
              <w:t>在四区的刊物上发表论文，且论文被SCI收录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397" w:type="pct"/>
            <w:vAlign w:val="center"/>
          </w:tcPr>
          <w:p>
            <w:pPr>
              <w:spacing w:line="360" w:lineRule="auto"/>
              <w:jc w:val="both"/>
              <w:rPr>
                <w:rFonts w:ascii="宋体" w:hAnsi="宋体" w:cs="Times New Roman"/>
                <w:b/>
                <w:color w:val="auto"/>
                <w:szCs w:val="18"/>
              </w:rPr>
            </w:pPr>
            <w:r>
              <w:rPr>
                <w:rFonts w:hint="eastAsia" w:ascii="宋体" w:hAnsi="宋体" w:cs="Times New Roman"/>
                <w:b/>
                <w:color w:val="auto"/>
                <w:szCs w:val="18"/>
              </w:rPr>
              <w:t>得分</w:t>
            </w:r>
          </w:p>
        </w:tc>
        <w:tc>
          <w:tcPr>
            <w:tcW w:w="772" w:type="pct"/>
            <w:vAlign w:val="center"/>
          </w:tcPr>
          <w:p>
            <w:pPr>
              <w:rPr>
                <w:rFonts w:ascii="宋体" w:hAnsi="宋体" w:cs="Times New Roman"/>
                <w:color w:val="auto"/>
                <w:szCs w:val="18"/>
              </w:rPr>
            </w:pPr>
            <w:r>
              <w:rPr>
                <w:rFonts w:hint="eastAsia" w:ascii="宋体" w:hAnsi="宋体" w:cs="Times New Roman"/>
                <w:color w:val="auto"/>
                <w:szCs w:val="18"/>
              </w:rPr>
              <w:t>第一作者每篇1.5分</w:t>
            </w:r>
          </w:p>
          <w:p>
            <w:pPr>
              <w:rPr>
                <w:rFonts w:ascii="宋体" w:hAnsi="宋体" w:cs="Times New Roman"/>
                <w:color w:val="auto"/>
                <w:szCs w:val="18"/>
              </w:rPr>
            </w:pPr>
            <w:r>
              <w:rPr>
                <w:rFonts w:hint="eastAsia" w:ascii="宋体" w:hAnsi="宋体" w:cs="Times New Roman"/>
                <w:color w:val="auto"/>
                <w:szCs w:val="18"/>
              </w:rPr>
              <w:t>第二作者每篇1分</w:t>
            </w:r>
          </w:p>
          <w:p>
            <w:pPr>
              <w:spacing w:line="240" w:lineRule="auto"/>
              <w:jc w:val="both"/>
              <w:rPr>
                <w:rFonts w:ascii="宋体" w:hAnsi="宋体" w:cs="Times New Roman"/>
                <w:color w:val="auto"/>
                <w:szCs w:val="18"/>
              </w:rPr>
            </w:pPr>
            <w:r>
              <w:rPr>
                <w:rFonts w:hint="eastAsia" w:ascii="宋体" w:hAnsi="宋体" w:cs="Times New Roman"/>
                <w:color w:val="auto"/>
                <w:szCs w:val="18"/>
              </w:rPr>
              <w:t>第三作者每篇0.5分</w:t>
            </w:r>
          </w:p>
        </w:tc>
        <w:tc>
          <w:tcPr>
            <w:tcW w:w="1111" w:type="pct"/>
            <w:vAlign w:val="center"/>
          </w:tcPr>
          <w:p>
            <w:pPr>
              <w:rPr>
                <w:rFonts w:ascii="宋体" w:hAnsi="宋体" w:cs="Times New Roman"/>
                <w:color w:val="auto"/>
                <w:szCs w:val="18"/>
              </w:rPr>
            </w:pPr>
            <w:r>
              <w:rPr>
                <w:rFonts w:hint="eastAsia" w:ascii="宋体" w:hAnsi="宋体" w:cs="Times New Roman"/>
                <w:color w:val="auto"/>
                <w:szCs w:val="18"/>
              </w:rPr>
              <w:t>第一作者每篇1分</w:t>
            </w:r>
          </w:p>
          <w:p>
            <w:pPr>
              <w:rPr>
                <w:rFonts w:ascii="宋体" w:hAnsi="宋体" w:cs="Times New Roman"/>
                <w:color w:val="auto"/>
                <w:szCs w:val="18"/>
              </w:rPr>
            </w:pPr>
            <w:r>
              <w:rPr>
                <w:rFonts w:hint="eastAsia" w:ascii="宋体" w:hAnsi="宋体" w:cs="Times New Roman"/>
                <w:color w:val="auto"/>
                <w:szCs w:val="18"/>
              </w:rPr>
              <w:t>第二作者每篇0.6分</w:t>
            </w:r>
          </w:p>
          <w:p>
            <w:pPr>
              <w:spacing w:line="240" w:lineRule="auto"/>
              <w:jc w:val="both"/>
              <w:rPr>
                <w:rFonts w:ascii="宋体" w:hAnsi="宋体" w:cs="Times New Roman"/>
                <w:color w:val="auto"/>
                <w:szCs w:val="18"/>
              </w:rPr>
            </w:pPr>
            <w:r>
              <w:rPr>
                <w:rFonts w:hint="eastAsia" w:ascii="宋体" w:hAnsi="宋体" w:cs="Times New Roman"/>
                <w:color w:val="auto"/>
                <w:szCs w:val="18"/>
              </w:rPr>
              <w:t>第三作者每篇0.4分</w:t>
            </w:r>
          </w:p>
        </w:tc>
        <w:tc>
          <w:tcPr>
            <w:tcW w:w="736" w:type="pct"/>
            <w:vAlign w:val="center"/>
          </w:tcPr>
          <w:p>
            <w:pPr>
              <w:rPr>
                <w:rFonts w:ascii="宋体" w:hAnsi="宋体" w:cs="Times New Roman"/>
                <w:color w:val="auto"/>
                <w:szCs w:val="18"/>
              </w:rPr>
            </w:pPr>
            <w:r>
              <w:rPr>
                <w:rFonts w:hint="eastAsia" w:ascii="宋体" w:hAnsi="宋体" w:cs="Times New Roman"/>
                <w:color w:val="auto"/>
                <w:szCs w:val="18"/>
              </w:rPr>
              <w:t>第一作者每篇0.8分</w:t>
            </w:r>
          </w:p>
          <w:p>
            <w:pPr>
              <w:rPr>
                <w:rFonts w:ascii="宋体" w:hAnsi="宋体" w:cs="Times New Roman"/>
                <w:color w:val="auto"/>
                <w:szCs w:val="18"/>
              </w:rPr>
            </w:pPr>
            <w:r>
              <w:rPr>
                <w:rFonts w:hint="eastAsia" w:ascii="宋体" w:hAnsi="宋体" w:cs="Times New Roman"/>
                <w:color w:val="auto"/>
                <w:szCs w:val="18"/>
              </w:rPr>
              <w:t>第二作者每篇0.4分</w:t>
            </w:r>
          </w:p>
          <w:p>
            <w:pPr>
              <w:spacing w:line="240" w:lineRule="auto"/>
              <w:jc w:val="both"/>
              <w:rPr>
                <w:rFonts w:ascii="宋体" w:hAnsi="宋体" w:cs="Times New Roman"/>
                <w:color w:val="auto"/>
                <w:szCs w:val="18"/>
              </w:rPr>
            </w:pPr>
            <w:r>
              <w:rPr>
                <w:rFonts w:hint="eastAsia" w:ascii="宋体" w:hAnsi="宋体" w:cs="Times New Roman"/>
                <w:color w:val="auto"/>
                <w:szCs w:val="18"/>
              </w:rPr>
              <w:t>第三作者每篇0.3分</w:t>
            </w:r>
          </w:p>
        </w:tc>
        <w:tc>
          <w:tcPr>
            <w:tcW w:w="662" w:type="pct"/>
            <w:vAlign w:val="center"/>
          </w:tcPr>
          <w:p>
            <w:pPr>
              <w:rPr>
                <w:rFonts w:ascii="宋体" w:hAnsi="宋体" w:cs="Times New Roman"/>
                <w:color w:val="auto"/>
                <w:szCs w:val="18"/>
              </w:rPr>
            </w:pPr>
            <w:r>
              <w:rPr>
                <w:rFonts w:hint="eastAsia" w:ascii="宋体" w:hAnsi="宋体" w:cs="Times New Roman"/>
                <w:color w:val="auto"/>
                <w:szCs w:val="18"/>
              </w:rPr>
              <w:t>第一作者每篇0.5分</w:t>
            </w:r>
          </w:p>
          <w:p>
            <w:pPr>
              <w:rPr>
                <w:rFonts w:ascii="宋体" w:hAnsi="宋体" w:cs="Times New Roman"/>
                <w:color w:val="auto"/>
                <w:szCs w:val="18"/>
              </w:rPr>
            </w:pPr>
            <w:r>
              <w:rPr>
                <w:rFonts w:hint="eastAsia" w:ascii="宋体" w:hAnsi="宋体" w:cs="Times New Roman"/>
                <w:color w:val="auto"/>
                <w:szCs w:val="18"/>
              </w:rPr>
              <w:t>第二作者每篇0.3分</w:t>
            </w:r>
          </w:p>
          <w:p>
            <w:pPr>
              <w:spacing w:line="360" w:lineRule="auto"/>
              <w:jc w:val="both"/>
              <w:rPr>
                <w:rFonts w:hint="eastAsia" w:ascii="宋体" w:hAnsi="宋体" w:cs="Times New Roman"/>
                <w:color w:val="auto"/>
                <w:szCs w:val="18"/>
              </w:rPr>
            </w:pPr>
            <w:r>
              <w:rPr>
                <w:rFonts w:hint="eastAsia" w:ascii="宋体" w:hAnsi="宋体" w:cs="Times New Roman"/>
                <w:color w:val="auto"/>
                <w:szCs w:val="18"/>
              </w:rPr>
              <w:t>第三作者每篇0.15分</w:t>
            </w:r>
          </w:p>
        </w:tc>
        <w:tc>
          <w:tcPr>
            <w:tcW w:w="663" w:type="pct"/>
            <w:vAlign w:val="center"/>
          </w:tcPr>
          <w:p>
            <w:pPr>
              <w:rPr>
                <w:rFonts w:ascii="宋体" w:hAnsi="宋体" w:cs="Times New Roman"/>
                <w:color w:val="auto"/>
                <w:szCs w:val="18"/>
              </w:rPr>
            </w:pPr>
            <w:r>
              <w:rPr>
                <w:rFonts w:hint="eastAsia" w:ascii="宋体" w:hAnsi="宋体" w:cs="Times New Roman"/>
                <w:color w:val="auto"/>
                <w:szCs w:val="18"/>
              </w:rPr>
              <w:t>第一作者每篇0.3分</w:t>
            </w:r>
          </w:p>
          <w:p>
            <w:pPr>
              <w:rPr>
                <w:rFonts w:ascii="宋体" w:hAnsi="宋体" w:cs="Times New Roman"/>
                <w:color w:val="auto"/>
                <w:szCs w:val="18"/>
              </w:rPr>
            </w:pPr>
            <w:r>
              <w:rPr>
                <w:rFonts w:hint="eastAsia" w:ascii="宋体" w:hAnsi="宋体" w:cs="Times New Roman"/>
                <w:color w:val="auto"/>
                <w:szCs w:val="18"/>
              </w:rPr>
              <w:t>第二作者每篇0.2分</w:t>
            </w:r>
          </w:p>
          <w:p>
            <w:pPr>
              <w:spacing w:line="360" w:lineRule="auto"/>
              <w:jc w:val="both"/>
              <w:rPr>
                <w:rFonts w:hint="eastAsia" w:ascii="宋体" w:hAnsi="宋体" w:cs="Times New Roman"/>
                <w:color w:val="auto"/>
                <w:szCs w:val="18"/>
              </w:rPr>
            </w:pPr>
            <w:r>
              <w:rPr>
                <w:rFonts w:hint="eastAsia" w:ascii="宋体" w:hAnsi="宋体" w:cs="Times New Roman"/>
                <w:color w:val="auto"/>
                <w:szCs w:val="18"/>
              </w:rPr>
              <w:t>第三作者每篇0.1分</w:t>
            </w:r>
          </w:p>
        </w:tc>
        <w:tc>
          <w:tcPr>
            <w:tcW w:w="659" w:type="pct"/>
            <w:vAlign w:val="center"/>
          </w:tcPr>
          <w:p>
            <w:pPr>
              <w:rPr>
                <w:rFonts w:ascii="宋体" w:hAnsi="宋体" w:cs="Times New Roman"/>
                <w:color w:val="auto"/>
                <w:szCs w:val="18"/>
              </w:rPr>
            </w:pPr>
            <w:r>
              <w:rPr>
                <w:rFonts w:hint="eastAsia" w:ascii="宋体" w:hAnsi="宋体" w:cs="Times New Roman"/>
                <w:color w:val="auto"/>
                <w:szCs w:val="18"/>
              </w:rPr>
              <w:t>第一作者每篇0.2分</w:t>
            </w:r>
          </w:p>
          <w:p>
            <w:pPr>
              <w:rPr>
                <w:rFonts w:ascii="宋体" w:hAnsi="宋体" w:cs="Times New Roman"/>
                <w:color w:val="auto"/>
                <w:szCs w:val="18"/>
              </w:rPr>
            </w:pPr>
            <w:r>
              <w:rPr>
                <w:rFonts w:hint="eastAsia" w:ascii="宋体" w:hAnsi="宋体" w:cs="Times New Roman"/>
                <w:color w:val="auto"/>
                <w:szCs w:val="18"/>
              </w:rPr>
              <w:t>第二作者每篇0.1分</w:t>
            </w:r>
          </w:p>
          <w:p>
            <w:pPr>
              <w:spacing w:line="360" w:lineRule="auto"/>
              <w:jc w:val="both"/>
              <w:rPr>
                <w:rFonts w:ascii="宋体" w:hAnsi="宋体" w:cs="Times New Roman"/>
                <w:color w:val="auto"/>
                <w:szCs w:val="18"/>
              </w:rPr>
            </w:pPr>
            <w:r>
              <w:rPr>
                <w:rFonts w:hint="eastAsia" w:ascii="宋体" w:hAnsi="宋体" w:cs="Times New Roman"/>
                <w:color w:val="auto"/>
                <w:szCs w:val="18"/>
              </w:rPr>
              <w:t>第三作者每篇0.05分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397" w:type="pct"/>
            <w:vAlign w:val="center"/>
          </w:tcPr>
          <w:p>
            <w:pPr>
              <w:spacing w:line="360" w:lineRule="auto"/>
              <w:jc w:val="both"/>
              <w:rPr>
                <w:rFonts w:ascii="宋体" w:hAnsi="宋体" w:cs="Times New Roman"/>
                <w:b/>
                <w:color w:val="auto"/>
                <w:szCs w:val="18"/>
              </w:rPr>
            </w:pPr>
            <w:r>
              <w:rPr>
                <w:rFonts w:hint="eastAsia" w:ascii="宋体" w:hAnsi="宋体" w:cs="Times New Roman"/>
                <w:b/>
                <w:color w:val="auto"/>
                <w:szCs w:val="18"/>
              </w:rPr>
              <w:t>说明</w:t>
            </w:r>
          </w:p>
        </w:tc>
        <w:tc>
          <w:tcPr>
            <w:tcW w:w="4603" w:type="pct"/>
            <w:gridSpan w:val="6"/>
            <w:vAlign w:val="center"/>
          </w:tcPr>
          <w:p>
            <w:pPr>
              <w:tabs>
                <w:tab w:val="left" w:pos="435"/>
              </w:tabs>
              <w:spacing w:line="240" w:lineRule="auto"/>
              <w:rPr>
                <w:rFonts w:ascii="宋体" w:hAnsi="宋体" w:cs="Times New Roman"/>
                <w:color w:val="auto"/>
                <w:szCs w:val="18"/>
              </w:rPr>
            </w:pPr>
            <w:r>
              <w:rPr>
                <w:rFonts w:hint="eastAsia" w:ascii="宋体" w:hAnsi="宋体" w:cs="Times New Roman"/>
                <w:color w:val="auto"/>
                <w:szCs w:val="18"/>
              </w:rPr>
              <w:t>1、作者排名认定以作者的绝对排名为序，第一作者为学生的，可按上述规定得到相应分值。</w:t>
            </w:r>
            <w:r>
              <w:rPr>
                <w:rFonts w:hint="eastAsia" w:ascii="宋体" w:hAnsi="宋体" w:cs="宋体"/>
                <w:color w:val="auto"/>
                <w:kern w:val="0"/>
                <w:szCs w:val="18"/>
              </w:rPr>
              <w:t>导师（或具体指导老师,以学院备案文件为准，且只能有一个）为第一作者学生为第二作者时，作为第二作者的学生可按第一作者算，之后的作者按绝对顺序依次计算排名，并且不再区分身份</w:t>
            </w:r>
            <w:r>
              <w:rPr>
                <w:rFonts w:hint="eastAsia" w:ascii="宋体" w:hAnsi="宋体" w:cs="Times New Roman"/>
                <w:color w:val="auto"/>
                <w:szCs w:val="18"/>
              </w:rPr>
              <w:t>。</w:t>
            </w:r>
          </w:p>
          <w:p>
            <w:pPr>
              <w:tabs>
                <w:tab w:val="left" w:pos="435"/>
              </w:tabs>
              <w:adjustRightInd w:val="0"/>
              <w:rPr>
                <w:rFonts w:ascii="宋体" w:hAnsi="宋体" w:cs="Times New Roman"/>
                <w:color w:val="auto"/>
                <w:szCs w:val="18"/>
              </w:rPr>
            </w:pPr>
            <w:r>
              <w:rPr>
                <w:rFonts w:hint="eastAsia" w:ascii="宋体" w:hAnsi="宋体" w:cs="Times New Roman"/>
                <w:color w:val="auto"/>
                <w:szCs w:val="18"/>
              </w:rPr>
              <w:t>2、参加科研成绩评定的论文、科技成果、必须是该年度正式发表或已被编辑部录用(必须有录用证明，录用或</w:t>
            </w:r>
            <w:r>
              <w:rPr>
                <w:rFonts w:ascii="宋体" w:hAnsi="宋体" w:cs="Times New Roman"/>
                <w:color w:val="auto"/>
                <w:szCs w:val="18"/>
              </w:rPr>
              <w:t>发表的截止时间</w:t>
            </w:r>
            <w:r>
              <w:rPr>
                <w:rFonts w:hint="eastAsia" w:ascii="宋体" w:hAnsi="宋体" w:cs="Times New Roman"/>
                <w:color w:val="auto"/>
                <w:szCs w:val="18"/>
              </w:rPr>
              <w:t>以当年院网通知为准，</w:t>
            </w:r>
            <w:r>
              <w:rPr>
                <w:rFonts w:ascii="宋体" w:hAnsi="宋体" w:cs="Times New Roman"/>
                <w:color w:val="auto"/>
                <w:szCs w:val="18"/>
              </w:rPr>
              <w:t>超出的转入下一学年</w:t>
            </w:r>
            <w:r>
              <w:rPr>
                <w:rFonts w:hint="eastAsia" w:ascii="宋体" w:hAnsi="宋体" w:cs="Times New Roman"/>
                <w:color w:val="auto"/>
                <w:szCs w:val="18"/>
              </w:rPr>
              <w:t>)。</w:t>
            </w:r>
          </w:p>
          <w:p>
            <w:pPr>
              <w:tabs>
                <w:tab w:val="left" w:pos="435"/>
              </w:tabs>
              <w:adjustRightInd w:val="0"/>
              <w:spacing w:line="240" w:lineRule="auto"/>
              <w:rPr>
                <w:rFonts w:hint="eastAsia" w:ascii="宋体" w:hAnsi="宋体" w:cs="Times New Roman"/>
                <w:color w:val="auto"/>
                <w:szCs w:val="18"/>
              </w:rPr>
            </w:pPr>
            <w:r>
              <w:rPr>
                <w:rFonts w:hint="eastAsia" w:ascii="宋体" w:hAnsi="宋体" w:cs="Times New Roman"/>
                <w:color w:val="auto"/>
                <w:szCs w:val="18"/>
              </w:rPr>
              <w:t>3、已参加过评定的论文、科研成果和专利，不能再次参加评定。</w:t>
            </w:r>
          </w:p>
          <w:p>
            <w:pPr>
              <w:pStyle w:val="25"/>
              <w:tabs>
                <w:tab w:val="left" w:pos="435"/>
              </w:tabs>
              <w:ind w:firstLine="0" w:firstLineChars="0"/>
              <w:rPr>
                <w:rFonts w:ascii="宋体" w:hAnsi="宋体" w:cs="Times New Roman"/>
                <w:color w:val="auto"/>
                <w:szCs w:val="18"/>
              </w:rPr>
            </w:pPr>
            <w:r>
              <w:rPr>
                <w:rFonts w:hint="eastAsia" w:ascii="宋体" w:hAnsi="宋体" w:cs="Times New Roman"/>
                <w:color w:val="auto"/>
                <w:szCs w:val="18"/>
              </w:rPr>
              <w:t>4、研究性论文的得分按以上分值进行计算，综述论文和评论论文的得分按照研究论文标准的</w:t>
            </w:r>
            <w:r>
              <w:rPr>
                <w:rFonts w:ascii="宋体" w:hAnsi="宋体" w:cs="Times New Roman"/>
                <w:color w:val="auto"/>
                <w:szCs w:val="18"/>
              </w:rPr>
              <w:t>30%计算</w:t>
            </w:r>
            <w:r>
              <w:rPr>
                <w:rFonts w:hint="eastAsia" w:ascii="宋体" w:hAnsi="宋体" w:cs="Times New Roman"/>
                <w:color w:val="auto"/>
                <w:szCs w:val="18"/>
              </w:rPr>
              <w:t>。</w:t>
            </w:r>
          </w:p>
          <w:p>
            <w:pPr>
              <w:pStyle w:val="25"/>
              <w:numPr>
                <w:ilvl w:val="0"/>
                <w:numId w:val="0"/>
              </w:numPr>
              <w:tabs>
                <w:tab w:val="left" w:pos="435"/>
              </w:tabs>
              <w:spacing w:line="240" w:lineRule="auto"/>
              <w:ind w:left="0" w:firstLine="0" w:firstLineChars="0"/>
              <w:rPr>
                <w:rFonts w:hint="default" w:ascii="宋体" w:hAnsi="宋体" w:eastAsia="宋体" w:cs="Times New Roman"/>
                <w:color w:val="auto"/>
                <w:szCs w:val="18"/>
                <w:lang w:val="en-US" w:eastAsia="zh-CN"/>
              </w:rPr>
            </w:pPr>
            <w:r>
              <w:rPr>
                <w:rFonts w:ascii="宋体" w:hAnsi="宋体" w:cs="Times New Roman"/>
                <w:color w:val="auto"/>
                <w:szCs w:val="18"/>
              </w:rPr>
              <w:t>5</w:t>
            </w:r>
            <w:r>
              <w:rPr>
                <w:rFonts w:hint="eastAsia" w:ascii="宋体" w:hAnsi="宋体" w:cs="Times New Roman"/>
                <w:color w:val="auto"/>
                <w:szCs w:val="18"/>
              </w:rPr>
              <w:t>、</w:t>
            </w:r>
            <w:r>
              <w:rPr>
                <w:rFonts w:ascii="宋体" w:hAnsi="宋体" w:cs="Times New Roman"/>
                <w:color w:val="auto"/>
                <w:szCs w:val="18"/>
              </w:rPr>
              <w:t>分区以中科院公布的最新资料为准，按大类分区计算</w:t>
            </w:r>
            <w:r>
              <w:rPr>
                <w:rFonts w:hint="eastAsia" w:ascii="宋体" w:hAnsi="宋体" w:cs="Times New Roman"/>
                <w:color w:val="auto"/>
                <w:szCs w:val="18"/>
                <w:lang w:eastAsia="zh-CN"/>
              </w:rPr>
              <w:t>，</w:t>
            </w:r>
            <w:r>
              <w:rPr>
                <w:rFonts w:hint="eastAsia" w:ascii="宋体" w:hAnsi="宋体" w:cs="Times New Roman"/>
                <w:color w:val="auto"/>
                <w:szCs w:val="18"/>
                <w:lang w:val="en-US" w:eastAsia="zh-CN"/>
              </w:rPr>
              <w:t>就高不就低</w:t>
            </w:r>
            <w:r>
              <w:rPr>
                <w:rFonts w:hint="eastAsia" w:ascii="宋体" w:hAnsi="宋体" w:cs="Times New Roman"/>
                <w:color w:val="auto"/>
                <w:szCs w:val="18"/>
              </w:rPr>
              <w:t>。</w:t>
            </w:r>
            <w:r>
              <w:rPr>
                <w:rFonts w:hint="eastAsia" w:ascii="宋体" w:hAnsi="宋体" w:cs="Times New Roman"/>
                <w:color w:val="auto"/>
                <w:szCs w:val="18"/>
                <w:lang w:val="en-US" w:eastAsia="zh-CN"/>
              </w:rPr>
              <w:t>没有分区和IF的新期刊，得分参照四区期刊论文分值。</w:t>
            </w:r>
          </w:p>
          <w:p>
            <w:pPr>
              <w:pStyle w:val="25"/>
              <w:numPr>
                <w:ilvl w:val="0"/>
                <w:numId w:val="0"/>
              </w:numPr>
              <w:tabs>
                <w:tab w:val="left" w:pos="435"/>
              </w:tabs>
              <w:spacing w:line="240" w:lineRule="auto"/>
              <w:ind w:left="0" w:firstLine="0" w:firstLineChars="0"/>
              <w:rPr>
                <w:rFonts w:hint="default" w:ascii="宋体" w:hAnsi="宋体" w:cs="Times New Roman"/>
                <w:color w:val="auto"/>
                <w:szCs w:val="18"/>
              </w:rPr>
            </w:pPr>
            <w:r>
              <w:rPr>
                <w:rFonts w:hint="eastAsia" w:ascii="宋体" w:hAnsi="宋体" w:cs="Times New Roman"/>
                <w:color w:val="auto"/>
                <w:szCs w:val="18"/>
                <w:lang w:val="en-US" w:eastAsia="zh-CN"/>
              </w:rPr>
              <w:t>6、会议论文以参加会议方式另行计算。</w:t>
            </w:r>
          </w:p>
        </w:tc>
      </w:tr>
    </w:tbl>
    <w:p>
      <w:pPr>
        <w:pStyle w:val="5"/>
        <w:spacing w:line="360" w:lineRule="auto"/>
        <w:rPr>
          <w:color w:val="auto"/>
        </w:rPr>
      </w:pPr>
      <w:r>
        <w:rPr>
          <w:rFonts w:hint="eastAsia"/>
          <w:color w:val="auto"/>
        </w:rPr>
        <w:t>（3）</w:t>
      </w:r>
      <w:r>
        <w:rPr>
          <w:color w:val="auto"/>
        </w:rPr>
        <w:t>专利成果</w:t>
      </w:r>
      <w:r>
        <w:rPr>
          <w:rFonts w:hint="eastAsia"/>
          <w:color w:val="auto"/>
        </w:rPr>
        <w:t>（选达）</w:t>
      </w:r>
    </w:p>
    <w:tbl>
      <w:tblPr>
        <w:tblStyle w:val="12"/>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724"/>
        <w:gridCol w:w="313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438" w:type="pct"/>
            <w:vAlign w:val="center"/>
          </w:tcPr>
          <w:p>
            <w:pPr>
              <w:rPr>
                <w:rFonts w:ascii="宋体" w:hAnsi="宋体" w:cs="Times New Roman"/>
                <w:b/>
                <w:color w:val="auto"/>
                <w:szCs w:val="18"/>
              </w:rPr>
            </w:pPr>
            <w:r>
              <w:rPr>
                <w:rFonts w:hint="eastAsia" w:ascii="宋体" w:hAnsi="宋体" w:cs="Times New Roman"/>
                <w:b/>
                <w:color w:val="auto"/>
                <w:szCs w:val="18"/>
              </w:rPr>
              <w:t>专利成果情况</w:t>
            </w:r>
          </w:p>
        </w:tc>
        <w:tc>
          <w:tcPr>
            <w:tcW w:w="1366" w:type="pct"/>
            <w:vAlign w:val="center"/>
          </w:tcPr>
          <w:p>
            <w:pPr>
              <w:spacing w:line="240" w:lineRule="auto"/>
              <w:rPr>
                <w:rFonts w:ascii="宋体" w:hAnsi="宋体" w:cs="Times New Roman"/>
                <w:b/>
                <w:color w:val="auto"/>
                <w:szCs w:val="18"/>
              </w:rPr>
            </w:pPr>
            <w:r>
              <w:rPr>
                <w:rFonts w:hint="eastAsia" w:ascii="宋体" w:hAnsi="宋体" w:cs="Times New Roman"/>
                <w:b/>
                <w:color w:val="auto"/>
                <w:szCs w:val="18"/>
              </w:rPr>
              <w:t>获得发明专利（已被正式授权）</w:t>
            </w:r>
          </w:p>
        </w:tc>
        <w:tc>
          <w:tcPr>
            <w:tcW w:w="1574" w:type="pct"/>
            <w:vAlign w:val="center"/>
          </w:tcPr>
          <w:p>
            <w:pPr>
              <w:rPr>
                <w:rFonts w:ascii="宋体" w:hAnsi="宋体" w:cs="Times New Roman"/>
                <w:b/>
                <w:color w:val="auto"/>
                <w:szCs w:val="18"/>
              </w:rPr>
            </w:pPr>
            <w:r>
              <w:rPr>
                <w:rFonts w:hint="eastAsia" w:ascii="宋体" w:hAnsi="宋体" w:cs="Times New Roman"/>
                <w:b/>
                <w:color w:val="auto"/>
                <w:szCs w:val="18"/>
              </w:rPr>
              <w:t>获得实用新型专利（已被正式授权）</w:t>
            </w:r>
          </w:p>
        </w:tc>
        <w:tc>
          <w:tcPr>
            <w:tcW w:w="1621" w:type="pct"/>
            <w:vAlign w:val="center"/>
          </w:tcPr>
          <w:p>
            <w:pPr>
              <w:rPr>
                <w:rFonts w:hint="default" w:ascii="宋体" w:hAnsi="宋体" w:cs="Times New Roman"/>
                <w:b/>
                <w:color w:val="auto"/>
                <w:szCs w:val="18"/>
                <w:lang w:val="en-US"/>
              </w:rPr>
            </w:pPr>
            <w:r>
              <w:rPr>
                <w:rFonts w:hint="eastAsia" w:ascii="宋体" w:hAnsi="宋体" w:cs="Times New Roman"/>
                <w:b/>
                <w:color w:val="auto"/>
                <w:szCs w:val="18"/>
              </w:rPr>
              <w:t>获得发明专利</w:t>
            </w:r>
            <w:r>
              <w:rPr>
                <w:rFonts w:hint="eastAsia" w:ascii="宋体" w:hAnsi="宋体" w:cs="Times New Roman"/>
                <w:b/>
                <w:color w:val="auto"/>
                <w:szCs w:val="18"/>
                <w:lang w:val="en-US" w:eastAsia="zh-CN"/>
              </w:rPr>
              <w:t>(</w:t>
            </w:r>
            <w:r>
              <w:rPr>
                <w:rFonts w:hint="eastAsia" w:ascii="宋体" w:hAnsi="宋体" w:cs="Times New Roman"/>
                <w:b/>
                <w:color w:val="auto"/>
                <w:szCs w:val="18"/>
              </w:rPr>
              <w:t>已</w:t>
            </w:r>
            <w:r>
              <w:rPr>
                <w:rFonts w:hint="eastAsia" w:ascii="宋体" w:hAnsi="宋体" w:cs="Times New Roman"/>
                <w:b/>
                <w:color w:val="auto"/>
                <w:szCs w:val="18"/>
                <w:lang w:val="en-US" w:eastAsia="zh-CN"/>
              </w:rPr>
              <w:t>获得正式受理文号)</w:t>
            </w:r>
          </w:p>
          <w:p>
            <w:pPr>
              <w:rPr>
                <w:rFonts w:ascii="宋体" w:hAnsi="宋体" w:cs="Times New Roman"/>
                <w:b/>
                <w:color w:val="auto"/>
                <w:szCs w:val="18"/>
              </w:rPr>
            </w:pPr>
            <w:r>
              <w:rPr>
                <w:rFonts w:hint="eastAsia" w:ascii="宋体" w:hAnsi="宋体" w:cs="Times New Roman"/>
                <w:b/>
                <w:color w:val="auto"/>
                <w:szCs w:val="18"/>
                <w:lang w:val="en-US" w:eastAsia="zh-CN"/>
              </w:rPr>
              <w:t>或</w:t>
            </w:r>
            <w:r>
              <w:rPr>
                <w:rFonts w:hint="eastAsia" w:ascii="宋体" w:hAnsi="宋体" w:cs="Times New Roman"/>
                <w:b/>
                <w:color w:val="auto"/>
                <w:szCs w:val="18"/>
              </w:rPr>
              <w:t>获得软件著作权（已被正式授权）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38" w:type="pct"/>
            <w:vAlign w:val="center"/>
          </w:tcPr>
          <w:p>
            <w:pPr>
              <w:spacing w:line="360" w:lineRule="auto"/>
              <w:rPr>
                <w:rFonts w:ascii="宋体" w:hAnsi="宋体" w:cs="Times New Roman"/>
                <w:b/>
                <w:color w:val="auto"/>
                <w:szCs w:val="18"/>
              </w:rPr>
            </w:pPr>
            <w:r>
              <w:rPr>
                <w:rFonts w:hint="eastAsia" w:ascii="宋体" w:hAnsi="宋体" w:cs="Times New Roman"/>
                <w:b/>
                <w:color w:val="auto"/>
                <w:szCs w:val="18"/>
              </w:rPr>
              <w:t>得分</w:t>
            </w:r>
          </w:p>
        </w:tc>
        <w:tc>
          <w:tcPr>
            <w:tcW w:w="1366" w:type="pct"/>
            <w:vAlign w:val="center"/>
          </w:tcPr>
          <w:p>
            <w:pPr>
              <w:rPr>
                <w:rFonts w:ascii="宋体" w:hAnsi="宋体" w:cs="Times New Roman"/>
                <w:color w:val="auto"/>
                <w:szCs w:val="18"/>
              </w:rPr>
            </w:pPr>
            <w:r>
              <w:rPr>
                <w:rFonts w:hint="eastAsia" w:ascii="宋体" w:hAnsi="宋体" w:cs="Times New Roman"/>
                <w:color w:val="auto"/>
                <w:szCs w:val="18"/>
              </w:rPr>
              <w:t>第一作者每项1分</w:t>
            </w:r>
          </w:p>
          <w:p>
            <w:pPr>
              <w:rPr>
                <w:rFonts w:ascii="宋体" w:hAnsi="宋体" w:cs="Times New Roman"/>
                <w:color w:val="auto"/>
                <w:szCs w:val="18"/>
              </w:rPr>
            </w:pPr>
            <w:r>
              <w:rPr>
                <w:rFonts w:hint="eastAsia" w:ascii="宋体" w:hAnsi="宋体" w:cs="Times New Roman"/>
                <w:color w:val="auto"/>
                <w:szCs w:val="18"/>
              </w:rPr>
              <w:t>第二作者每项0.</w:t>
            </w:r>
            <w:r>
              <w:rPr>
                <w:rFonts w:ascii="宋体" w:hAnsi="宋体" w:cs="Times New Roman"/>
                <w:color w:val="auto"/>
                <w:szCs w:val="18"/>
              </w:rPr>
              <w:t>8</w:t>
            </w:r>
            <w:r>
              <w:rPr>
                <w:rFonts w:hint="eastAsia" w:ascii="宋体" w:hAnsi="宋体" w:cs="Times New Roman"/>
                <w:color w:val="auto"/>
                <w:szCs w:val="18"/>
              </w:rPr>
              <w:t>分</w:t>
            </w:r>
          </w:p>
          <w:p>
            <w:pPr>
              <w:rPr>
                <w:rFonts w:ascii="宋体" w:hAnsi="宋体" w:cs="Times New Roman"/>
                <w:color w:val="auto"/>
                <w:szCs w:val="18"/>
              </w:rPr>
            </w:pPr>
            <w:r>
              <w:rPr>
                <w:rFonts w:hint="eastAsia" w:ascii="宋体" w:hAnsi="宋体" w:cs="Times New Roman"/>
                <w:color w:val="auto"/>
                <w:szCs w:val="18"/>
              </w:rPr>
              <w:t>第三作者每项0.5分</w:t>
            </w:r>
          </w:p>
        </w:tc>
        <w:tc>
          <w:tcPr>
            <w:tcW w:w="1574" w:type="pct"/>
            <w:vAlign w:val="center"/>
          </w:tcPr>
          <w:p>
            <w:pPr>
              <w:rPr>
                <w:rFonts w:ascii="宋体" w:hAnsi="宋体" w:cs="Times New Roman"/>
                <w:color w:val="auto"/>
                <w:szCs w:val="18"/>
              </w:rPr>
            </w:pPr>
            <w:r>
              <w:rPr>
                <w:rFonts w:hint="eastAsia" w:ascii="宋体" w:hAnsi="宋体" w:cs="Times New Roman"/>
                <w:color w:val="auto"/>
                <w:szCs w:val="18"/>
              </w:rPr>
              <w:t>第一作者每篇0</w:t>
            </w:r>
            <w:r>
              <w:rPr>
                <w:rFonts w:ascii="宋体" w:hAnsi="宋体" w:cs="Times New Roman"/>
                <w:color w:val="auto"/>
                <w:szCs w:val="18"/>
              </w:rPr>
              <w:t>.5</w:t>
            </w:r>
            <w:r>
              <w:rPr>
                <w:rFonts w:hint="eastAsia" w:ascii="宋体" w:hAnsi="宋体" w:cs="Times New Roman"/>
                <w:color w:val="auto"/>
                <w:szCs w:val="18"/>
              </w:rPr>
              <w:t>分</w:t>
            </w:r>
          </w:p>
          <w:p>
            <w:pPr>
              <w:rPr>
                <w:rFonts w:ascii="宋体" w:hAnsi="宋体" w:cs="Times New Roman"/>
                <w:color w:val="auto"/>
                <w:szCs w:val="18"/>
              </w:rPr>
            </w:pPr>
            <w:r>
              <w:rPr>
                <w:rFonts w:hint="eastAsia" w:ascii="宋体" w:hAnsi="宋体" w:cs="Times New Roman"/>
                <w:color w:val="auto"/>
                <w:szCs w:val="18"/>
              </w:rPr>
              <w:t>第二作者每篇0.</w:t>
            </w:r>
            <w:r>
              <w:rPr>
                <w:rFonts w:ascii="宋体" w:hAnsi="宋体" w:cs="Times New Roman"/>
                <w:color w:val="auto"/>
                <w:szCs w:val="18"/>
              </w:rPr>
              <w:t>3</w:t>
            </w:r>
            <w:r>
              <w:rPr>
                <w:rFonts w:hint="eastAsia" w:ascii="宋体" w:hAnsi="宋体" w:cs="Times New Roman"/>
                <w:color w:val="auto"/>
                <w:szCs w:val="18"/>
              </w:rPr>
              <w:t>分</w:t>
            </w:r>
          </w:p>
          <w:p>
            <w:pPr>
              <w:rPr>
                <w:rFonts w:ascii="宋体" w:hAnsi="宋体" w:cs="Times New Roman"/>
                <w:color w:val="auto"/>
                <w:szCs w:val="18"/>
              </w:rPr>
            </w:pPr>
            <w:r>
              <w:rPr>
                <w:rFonts w:hint="eastAsia" w:ascii="宋体" w:hAnsi="宋体" w:cs="Times New Roman"/>
                <w:color w:val="auto"/>
                <w:szCs w:val="18"/>
              </w:rPr>
              <w:t>第三作者每篇0.</w:t>
            </w:r>
            <w:r>
              <w:rPr>
                <w:rFonts w:ascii="宋体" w:hAnsi="宋体" w:cs="Times New Roman"/>
                <w:color w:val="auto"/>
                <w:szCs w:val="18"/>
              </w:rPr>
              <w:t>2</w:t>
            </w:r>
            <w:r>
              <w:rPr>
                <w:rFonts w:hint="eastAsia" w:ascii="宋体" w:hAnsi="宋体" w:cs="Times New Roman"/>
                <w:color w:val="auto"/>
                <w:szCs w:val="18"/>
              </w:rPr>
              <w:t>分</w:t>
            </w:r>
          </w:p>
        </w:tc>
        <w:tc>
          <w:tcPr>
            <w:tcW w:w="1621" w:type="pct"/>
            <w:vAlign w:val="center"/>
          </w:tcPr>
          <w:p>
            <w:pPr>
              <w:rPr>
                <w:rFonts w:ascii="宋体" w:hAnsi="宋体" w:cs="Times New Roman"/>
                <w:color w:val="auto"/>
                <w:szCs w:val="18"/>
              </w:rPr>
            </w:pPr>
            <w:r>
              <w:rPr>
                <w:rFonts w:hint="eastAsia" w:ascii="宋体" w:hAnsi="宋体" w:cs="Times New Roman"/>
                <w:color w:val="auto"/>
                <w:szCs w:val="18"/>
              </w:rPr>
              <w:t>第一作者每篇0.3分</w:t>
            </w:r>
          </w:p>
          <w:p>
            <w:pPr>
              <w:rPr>
                <w:rFonts w:ascii="宋体" w:hAnsi="宋体" w:cs="Times New Roman"/>
                <w:color w:val="auto"/>
                <w:szCs w:val="18"/>
              </w:rPr>
            </w:pPr>
            <w:r>
              <w:rPr>
                <w:rFonts w:hint="eastAsia" w:ascii="宋体" w:hAnsi="宋体" w:cs="Times New Roman"/>
                <w:color w:val="auto"/>
                <w:szCs w:val="18"/>
              </w:rPr>
              <w:t>第二作者每篇0.2分</w:t>
            </w:r>
          </w:p>
          <w:p>
            <w:pPr>
              <w:rPr>
                <w:rFonts w:ascii="宋体" w:hAnsi="宋体" w:cs="Times New Roman"/>
                <w:color w:val="auto"/>
                <w:szCs w:val="18"/>
              </w:rPr>
            </w:pPr>
            <w:r>
              <w:rPr>
                <w:rFonts w:hint="eastAsia" w:ascii="宋体" w:hAnsi="宋体" w:cs="Times New Roman"/>
                <w:color w:val="auto"/>
                <w:szCs w:val="18"/>
              </w:rPr>
              <w:t>第三作者每篇0.15分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438" w:type="pct"/>
            <w:vAlign w:val="center"/>
          </w:tcPr>
          <w:p>
            <w:pPr>
              <w:spacing w:line="360" w:lineRule="auto"/>
              <w:rPr>
                <w:rFonts w:ascii="宋体" w:hAnsi="宋体" w:cs="Times New Roman"/>
                <w:b/>
                <w:color w:val="auto"/>
                <w:szCs w:val="18"/>
              </w:rPr>
            </w:pPr>
            <w:r>
              <w:rPr>
                <w:rFonts w:hint="eastAsia" w:ascii="宋体" w:hAnsi="宋体" w:cs="Times New Roman"/>
                <w:b/>
                <w:color w:val="auto"/>
                <w:szCs w:val="18"/>
              </w:rPr>
              <w:t>说明</w:t>
            </w:r>
          </w:p>
        </w:tc>
        <w:tc>
          <w:tcPr>
            <w:tcW w:w="4561" w:type="pct"/>
            <w:gridSpan w:val="3"/>
            <w:vAlign w:val="center"/>
          </w:tcPr>
          <w:p>
            <w:pPr>
              <w:tabs>
                <w:tab w:val="left" w:pos="435"/>
              </w:tabs>
              <w:rPr>
                <w:rFonts w:ascii="宋体" w:hAnsi="宋体" w:cs="Times New Roman"/>
                <w:color w:val="auto"/>
                <w:szCs w:val="18"/>
              </w:rPr>
            </w:pPr>
            <w:r>
              <w:rPr>
                <w:rFonts w:hint="eastAsia" w:ascii="宋体" w:hAnsi="宋体" w:cs="Times New Roman"/>
                <w:color w:val="auto"/>
                <w:szCs w:val="18"/>
              </w:rPr>
              <w:t>1、作者排名认定以作者的绝对排名为序，第一作者为学生的，可按上述规定得到相应分值。</w:t>
            </w:r>
            <w:r>
              <w:rPr>
                <w:rFonts w:hint="eastAsia" w:ascii="宋体" w:hAnsi="宋体" w:cs="宋体"/>
                <w:color w:val="auto"/>
                <w:kern w:val="0"/>
                <w:szCs w:val="18"/>
              </w:rPr>
              <w:t>导师（或具体指导老师,以学院备案文件为准，且只能有一个）为第一作者学生为第二作者时，作为第二作者的学生可按第一作者算，之后的作者按绝对顺序依次计算排名，并且不再区分身份</w:t>
            </w:r>
            <w:r>
              <w:rPr>
                <w:rFonts w:hint="eastAsia" w:ascii="宋体" w:hAnsi="宋体" w:cs="Times New Roman"/>
                <w:color w:val="auto"/>
                <w:szCs w:val="18"/>
              </w:rPr>
              <w:t>。</w:t>
            </w:r>
          </w:p>
          <w:p>
            <w:pPr>
              <w:tabs>
                <w:tab w:val="left" w:pos="435"/>
              </w:tabs>
              <w:adjustRightInd w:val="0"/>
              <w:rPr>
                <w:rFonts w:ascii="宋体" w:hAnsi="宋体" w:cs="Times New Roman"/>
                <w:color w:val="auto"/>
                <w:szCs w:val="18"/>
              </w:rPr>
            </w:pPr>
            <w:r>
              <w:rPr>
                <w:rFonts w:hint="eastAsia" w:ascii="宋体" w:hAnsi="宋体" w:cs="Times New Roman"/>
                <w:color w:val="auto"/>
                <w:szCs w:val="18"/>
              </w:rPr>
              <w:t>2、参加评定的专利必须是该年度正式授权的(必须有授权证明)。</w:t>
            </w:r>
          </w:p>
          <w:p>
            <w:pPr>
              <w:tabs>
                <w:tab w:val="left" w:pos="435"/>
              </w:tabs>
              <w:adjustRightInd w:val="0"/>
              <w:rPr>
                <w:rFonts w:hint="default" w:ascii="宋体" w:hAnsi="宋体" w:cs="Times New Roman"/>
                <w:color w:val="auto"/>
                <w:szCs w:val="18"/>
                <w:lang w:val="en-US"/>
              </w:rPr>
            </w:pPr>
            <w:r>
              <w:rPr>
                <w:rFonts w:hint="eastAsia" w:ascii="宋体" w:hAnsi="宋体" w:cs="Times New Roman"/>
                <w:color w:val="auto"/>
                <w:szCs w:val="18"/>
              </w:rPr>
              <w:t>3、已参加过评定的专利，不能再次参加评定。</w:t>
            </w:r>
            <w:r>
              <w:rPr>
                <w:rFonts w:hint="eastAsia" w:ascii="宋体" w:hAnsi="宋体" w:cs="Times New Roman"/>
                <w:b/>
                <w:color w:val="auto"/>
                <w:szCs w:val="18"/>
              </w:rPr>
              <w:t>获得发明专利</w:t>
            </w:r>
            <w:r>
              <w:rPr>
                <w:rFonts w:hint="eastAsia" w:ascii="宋体" w:hAnsi="宋体" w:cs="Times New Roman"/>
                <w:b/>
                <w:color w:val="auto"/>
                <w:szCs w:val="18"/>
                <w:lang w:val="en-US" w:eastAsia="zh-CN"/>
              </w:rPr>
              <w:t>在获得正式受理文号当年已使用过的，被正式授权当年得分仅能为两者对应的差值。</w:t>
            </w:r>
          </w:p>
        </w:tc>
      </w:tr>
    </w:tbl>
    <w:p>
      <w:pPr>
        <w:spacing w:line="360" w:lineRule="auto"/>
        <w:rPr>
          <w:rFonts w:hint="eastAsia"/>
          <w:color w:val="auto"/>
        </w:rPr>
      </w:pPr>
    </w:p>
    <w:p>
      <w:pPr>
        <w:pStyle w:val="5"/>
        <w:spacing w:line="360" w:lineRule="auto"/>
        <w:rPr>
          <w:rFonts w:asciiTheme="minorHAnsi" w:hAnsiTheme="minorHAnsi" w:eastAsiaTheme="minorEastAsia" w:cstheme="minorBidi"/>
          <w:color w:val="auto"/>
          <w:szCs w:val="22"/>
        </w:rPr>
      </w:pPr>
      <w:r>
        <w:rPr>
          <w:rFonts w:hint="eastAsia"/>
          <w:color w:val="auto"/>
        </w:rPr>
        <w:t>（4）专业竞赛（选达，如获具体名次其分值由评定小组再商议）</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716"/>
        <w:gridCol w:w="739"/>
        <w:gridCol w:w="712"/>
        <w:gridCol w:w="736"/>
        <w:gridCol w:w="736"/>
        <w:gridCol w:w="741"/>
        <w:gridCol w:w="736"/>
        <w:gridCol w:w="736"/>
        <w:gridCol w:w="738"/>
        <w:gridCol w:w="734"/>
        <w:gridCol w:w="736"/>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9"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级别</w:t>
            </w:r>
          </w:p>
        </w:tc>
        <w:tc>
          <w:tcPr>
            <w:tcW w:w="2167" w:type="dxa"/>
            <w:gridSpan w:val="3"/>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国家级</w:t>
            </w:r>
          </w:p>
        </w:tc>
        <w:tc>
          <w:tcPr>
            <w:tcW w:w="2213" w:type="dxa"/>
            <w:gridSpan w:val="3"/>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省级</w:t>
            </w:r>
          </w:p>
        </w:tc>
        <w:tc>
          <w:tcPr>
            <w:tcW w:w="2210" w:type="dxa"/>
            <w:gridSpan w:val="3"/>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校（市）级</w:t>
            </w:r>
          </w:p>
        </w:tc>
        <w:tc>
          <w:tcPr>
            <w:tcW w:w="2209" w:type="dxa"/>
            <w:gridSpan w:val="3"/>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9"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等级</w:t>
            </w:r>
          </w:p>
        </w:tc>
        <w:tc>
          <w:tcPr>
            <w:tcW w:w="71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一</w:t>
            </w:r>
          </w:p>
        </w:tc>
        <w:tc>
          <w:tcPr>
            <w:tcW w:w="739"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二</w:t>
            </w:r>
          </w:p>
        </w:tc>
        <w:tc>
          <w:tcPr>
            <w:tcW w:w="71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三</w:t>
            </w:r>
          </w:p>
        </w:tc>
        <w:tc>
          <w:tcPr>
            <w:tcW w:w="73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一</w:t>
            </w:r>
          </w:p>
        </w:tc>
        <w:tc>
          <w:tcPr>
            <w:tcW w:w="73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二</w:t>
            </w:r>
          </w:p>
        </w:tc>
        <w:tc>
          <w:tcPr>
            <w:tcW w:w="741" w:type="dxa"/>
            <w:shd w:val="clear" w:color="auto" w:fill="auto"/>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三</w:t>
            </w:r>
          </w:p>
        </w:tc>
        <w:tc>
          <w:tcPr>
            <w:tcW w:w="73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一</w:t>
            </w:r>
          </w:p>
        </w:tc>
        <w:tc>
          <w:tcPr>
            <w:tcW w:w="73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二</w:t>
            </w:r>
          </w:p>
        </w:tc>
        <w:tc>
          <w:tcPr>
            <w:tcW w:w="738"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三</w:t>
            </w:r>
          </w:p>
        </w:tc>
        <w:tc>
          <w:tcPr>
            <w:tcW w:w="734"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一</w:t>
            </w:r>
          </w:p>
        </w:tc>
        <w:tc>
          <w:tcPr>
            <w:tcW w:w="73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二</w:t>
            </w:r>
          </w:p>
        </w:tc>
        <w:tc>
          <w:tcPr>
            <w:tcW w:w="739"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9"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加分</w:t>
            </w:r>
          </w:p>
        </w:tc>
        <w:tc>
          <w:tcPr>
            <w:tcW w:w="716" w:type="dxa"/>
          </w:tcPr>
          <w:p>
            <w:pPr>
              <w:spacing w:line="360" w:lineRule="auto"/>
              <w:jc w:val="center"/>
              <w:rPr>
                <w:rFonts w:ascii="宋体" w:hAnsi="宋体" w:cs="Times New Roman"/>
                <w:b/>
                <w:color w:val="auto"/>
                <w:szCs w:val="18"/>
              </w:rPr>
            </w:pPr>
            <w:r>
              <w:rPr>
                <w:rFonts w:hint="eastAsia" w:ascii="宋体" w:hAnsi="宋体" w:cs="Times New Roman"/>
                <w:b/>
                <w:color w:val="auto"/>
                <w:szCs w:val="18"/>
              </w:rPr>
              <w:t>0.5</w:t>
            </w:r>
          </w:p>
        </w:tc>
        <w:tc>
          <w:tcPr>
            <w:tcW w:w="739" w:type="dxa"/>
          </w:tcPr>
          <w:p>
            <w:pPr>
              <w:spacing w:line="360" w:lineRule="auto"/>
              <w:jc w:val="center"/>
              <w:rPr>
                <w:rFonts w:ascii="宋体" w:hAnsi="宋体" w:cs="Times New Roman"/>
                <w:b/>
                <w:color w:val="auto"/>
                <w:szCs w:val="18"/>
              </w:rPr>
            </w:pPr>
            <w:r>
              <w:rPr>
                <w:rFonts w:hint="eastAsia" w:ascii="宋体" w:hAnsi="宋体" w:cs="Times New Roman"/>
                <w:b/>
                <w:color w:val="auto"/>
                <w:szCs w:val="18"/>
              </w:rPr>
              <w:t>0.3</w:t>
            </w:r>
          </w:p>
        </w:tc>
        <w:tc>
          <w:tcPr>
            <w:tcW w:w="712" w:type="dxa"/>
          </w:tcPr>
          <w:p>
            <w:pPr>
              <w:spacing w:line="360" w:lineRule="auto"/>
              <w:jc w:val="center"/>
              <w:rPr>
                <w:rFonts w:ascii="宋体" w:hAnsi="宋体" w:cs="Times New Roman"/>
                <w:b/>
                <w:color w:val="auto"/>
                <w:szCs w:val="18"/>
              </w:rPr>
            </w:pPr>
            <w:r>
              <w:rPr>
                <w:rFonts w:hint="eastAsia" w:ascii="宋体" w:hAnsi="宋体" w:cs="Times New Roman"/>
                <w:b/>
                <w:color w:val="auto"/>
                <w:szCs w:val="18"/>
              </w:rPr>
              <w:t>0.2</w:t>
            </w:r>
          </w:p>
        </w:tc>
        <w:tc>
          <w:tcPr>
            <w:tcW w:w="73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0.3</w:t>
            </w:r>
          </w:p>
        </w:tc>
        <w:tc>
          <w:tcPr>
            <w:tcW w:w="73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0.2</w:t>
            </w:r>
          </w:p>
        </w:tc>
        <w:tc>
          <w:tcPr>
            <w:tcW w:w="741" w:type="dxa"/>
            <w:shd w:val="clear" w:color="auto" w:fill="auto"/>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0.1</w:t>
            </w:r>
          </w:p>
        </w:tc>
        <w:tc>
          <w:tcPr>
            <w:tcW w:w="736" w:type="dxa"/>
            <w:vAlign w:val="center"/>
          </w:tcPr>
          <w:p>
            <w:pPr>
              <w:spacing w:line="360" w:lineRule="auto"/>
              <w:ind w:firstLine="103" w:firstLineChars="49"/>
              <w:jc w:val="center"/>
              <w:rPr>
                <w:rFonts w:ascii="宋体" w:hAnsi="宋体" w:cs="Times New Roman"/>
                <w:b/>
                <w:color w:val="auto"/>
                <w:szCs w:val="18"/>
              </w:rPr>
            </w:pPr>
            <w:r>
              <w:rPr>
                <w:rFonts w:hint="eastAsia" w:ascii="宋体" w:hAnsi="宋体" w:cs="Times New Roman"/>
                <w:b/>
                <w:color w:val="auto"/>
                <w:szCs w:val="18"/>
              </w:rPr>
              <w:t>0.2</w:t>
            </w:r>
          </w:p>
        </w:tc>
        <w:tc>
          <w:tcPr>
            <w:tcW w:w="73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0.1</w:t>
            </w:r>
          </w:p>
        </w:tc>
        <w:tc>
          <w:tcPr>
            <w:tcW w:w="738"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0.05</w:t>
            </w:r>
          </w:p>
        </w:tc>
        <w:tc>
          <w:tcPr>
            <w:tcW w:w="734"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0.1</w:t>
            </w:r>
          </w:p>
        </w:tc>
        <w:tc>
          <w:tcPr>
            <w:tcW w:w="736"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0.06</w:t>
            </w:r>
          </w:p>
        </w:tc>
        <w:tc>
          <w:tcPr>
            <w:tcW w:w="739"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829"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说明</w:t>
            </w:r>
          </w:p>
        </w:tc>
        <w:tc>
          <w:tcPr>
            <w:tcW w:w="8799" w:type="dxa"/>
            <w:gridSpan w:val="12"/>
          </w:tcPr>
          <w:p>
            <w:pPr>
              <w:numPr>
                <w:ilvl w:val="0"/>
                <w:numId w:val="1"/>
              </w:numPr>
              <w:spacing w:line="240" w:lineRule="auto"/>
              <w:ind w:left="420" w:hanging="420"/>
              <w:jc w:val="left"/>
              <w:rPr>
                <w:rFonts w:ascii="宋体" w:hAnsi="宋体" w:cs="Times New Roman"/>
                <w:color w:val="auto"/>
                <w:szCs w:val="18"/>
              </w:rPr>
            </w:pPr>
            <w:r>
              <w:rPr>
                <w:rFonts w:hint="eastAsia" w:ascii="宋体" w:hAnsi="宋体" w:cs="Times New Roman"/>
                <w:color w:val="auto"/>
                <w:szCs w:val="18"/>
              </w:rPr>
              <w:t>以上分值是对第一完成人而言，第二、第三完成人分别按以上分值递减</w:t>
            </w:r>
            <w:r>
              <w:rPr>
                <w:rFonts w:ascii="宋体" w:hAnsi="宋体" w:cs="Times New Roman"/>
                <w:color w:val="auto"/>
                <w:szCs w:val="18"/>
              </w:rPr>
              <w:t>60%</w:t>
            </w:r>
            <w:r>
              <w:rPr>
                <w:rFonts w:hint="eastAsia" w:ascii="宋体" w:hAnsi="宋体" w:cs="Times New Roman"/>
                <w:color w:val="auto"/>
                <w:szCs w:val="18"/>
              </w:rPr>
              <w:t>、</w:t>
            </w:r>
            <w:r>
              <w:rPr>
                <w:rFonts w:ascii="宋体" w:hAnsi="宋体" w:cs="Times New Roman"/>
                <w:color w:val="auto"/>
                <w:szCs w:val="18"/>
              </w:rPr>
              <w:t>90%</w:t>
            </w:r>
            <w:r>
              <w:rPr>
                <w:rFonts w:hint="eastAsia" w:ascii="宋体" w:hAnsi="宋体" w:cs="Times New Roman"/>
                <w:color w:val="auto"/>
                <w:szCs w:val="18"/>
              </w:rPr>
              <w:t>。≥10人的团队，开出一、二、三完成人名单的证明，并且有人数（“一”＜“二”＜“三”）；＜10人的团队，开出一、二完成人名单的证明，并且有人数（“一”≤“二”）。若未注明第一、第二、第三完成人，则按参加人数平均该分值。</w:t>
            </w:r>
          </w:p>
          <w:p>
            <w:pPr>
              <w:numPr>
                <w:ilvl w:val="0"/>
                <w:numId w:val="1"/>
              </w:numPr>
              <w:spacing w:line="240" w:lineRule="auto"/>
              <w:ind w:left="420" w:hanging="420"/>
              <w:jc w:val="left"/>
              <w:rPr>
                <w:rFonts w:ascii="宋体" w:hAnsi="宋体" w:cs="Times New Roman"/>
                <w:color w:val="auto"/>
                <w:szCs w:val="18"/>
              </w:rPr>
            </w:pPr>
            <w:r>
              <w:rPr>
                <w:rFonts w:hint="eastAsia" w:ascii="宋体" w:hAnsi="宋体" w:cs="Times New Roman"/>
                <w:color w:val="auto"/>
                <w:szCs w:val="18"/>
              </w:rPr>
              <w:t>专业学术竞赛必须是与化学学科有关的正式学术竞赛，或者经学院励教奖学金评选小组讨论，认为可以参加科研成绩认定的学术竞赛，如院级的实验室安全知识竞赛、全国大学生化学实验竞赛（院级赛）。</w:t>
            </w:r>
          </w:p>
          <w:p>
            <w:pPr>
              <w:numPr>
                <w:ilvl w:val="0"/>
                <w:numId w:val="1"/>
              </w:numPr>
              <w:spacing w:line="240" w:lineRule="auto"/>
              <w:ind w:left="420" w:hanging="420"/>
              <w:jc w:val="left"/>
              <w:rPr>
                <w:rFonts w:ascii="宋体" w:hAnsi="宋体" w:cs="Times New Roman"/>
                <w:color w:val="auto"/>
                <w:szCs w:val="18"/>
              </w:rPr>
            </w:pPr>
            <w:r>
              <w:rPr>
                <w:rFonts w:hint="eastAsia" w:ascii="宋体" w:hAnsi="宋体" w:cs="Times New Roman"/>
                <w:color w:val="auto"/>
                <w:szCs w:val="18"/>
              </w:rPr>
              <w:t>参加多项同类专业学术竞赛只计最高分，分值不累计。</w:t>
            </w:r>
          </w:p>
          <w:p>
            <w:pPr>
              <w:numPr>
                <w:ilvl w:val="0"/>
                <w:numId w:val="1"/>
              </w:numPr>
              <w:spacing w:line="240" w:lineRule="auto"/>
              <w:ind w:left="420" w:hanging="420"/>
              <w:jc w:val="left"/>
              <w:rPr>
                <w:rFonts w:ascii="宋体" w:hAnsi="宋体" w:cs="Times New Roman"/>
                <w:color w:val="auto"/>
                <w:szCs w:val="18"/>
              </w:rPr>
            </w:pPr>
            <w:r>
              <w:rPr>
                <w:rFonts w:hint="eastAsia" w:ascii="宋体" w:hAnsi="宋体" w:cs="Times New Roman"/>
                <w:color w:val="auto"/>
                <w:szCs w:val="18"/>
              </w:rPr>
              <w:t>特等奖、优胜奖参照主办方评奖级别，由奖学金评定小组讨论确定相应加分。</w:t>
            </w:r>
          </w:p>
        </w:tc>
      </w:tr>
    </w:tbl>
    <w:p>
      <w:pPr>
        <w:pStyle w:val="5"/>
        <w:spacing w:line="360" w:lineRule="auto"/>
        <w:rPr>
          <w:color w:val="auto"/>
        </w:rPr>
      </w:pPr>
      <w:r>
        <w:rPr>
          <w:rFonts w:hint="eastAsia"/>
          <w:color w:val="auto"/>
        </w:rPr>
        <w:t>（</w:t>
      </w:r>
      <w:r>
        <w:rPr>
          <w:rFonts w:hint="eastAsia"/>
          <w:color w:val="auto"/>
          <w:lang w:val="en-US" w:eastAsia="zh-CN"/>
        </w:rPr>
        <w:t>5</w:t>
      </w:r>
      <w:r>
        <w:rPr>
          <w:rFonts w:hint="eastAsia"/>
          <w:color w:val="auto"/>
        </w:rPr>
        <w:t>）科研训练（选达）</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101"/>
        <w:gridCol w:w="1161"/>
        <w:gridCol w:w="1188"/>
        <w:gridCol w:w="1284"/>
        <w:gridCol w:w="135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2242" w:type="dxa"/>
            <w:shd w:val="clear" w:color="auto" w:fill="auto"/>
          </w:tcPr>
          <w:p>
            <w:pPr>
              <w:adjustRightInd w:val="0"/>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内容</w:t>
            </w:r>
          </w:p>
        </w:tc>
        <w:tc>
          <w:tcPr>
            <w:tcW w:w="3450" w:type="dxa"/>
            <w:gridSpan w:val="3"/>
            <w:shd w:val="clear" w:color="auto" w:fill="auto"/>
          </w:tcPr>
          <w:p>
            <w:pPr>
              <w:adjustRightInd w:val="0"/>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文献阅读大赛</w:t>
            </w:r>
          </w:p>
        </w:tc>
        <w:tc>
          <w:tcPr>
            <w:tcW w:w="3936" w:type="dxa"/>
            <w:gridSpan w:val="3"/>
            <w:shd w:val="clear" w:color="auto" w:fill="auto"/>
          </w:tcPr>
          <w:p>
            <w:pPr>
              <w:adjustRightInd w:val="0"/>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本科生科研交流会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42" w:type="dxa"/>
            <w:shd w:val="clear" w:color="auto" w:fill="auto"/>
          </w:tcPr>
          <w:p>
            <w:pPr>
              <w:adjustRightInd w:val="0"/>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等级</w:t>
            </w:r>
          </w:p>
        </w:tc>
        <w:tc>
          <w:tcPr>
            <w:tcW w:w="1101" w:type="dxa"/>
            <w:shd w:val="clear" w:color="auto" w:fill="auto"/>
          </w:tcPr>
          <w:p>
            <w:pPr>
              <w:adjustRightInd w:val="0"/>
              <w:spacing w:line="360" w:lineRule="auto"/>
              <w:jc w:val="center"/>
              <w:rPr>
                <w:rFonts w:ascii="Times New Roman" w:hAnsi="Times New Roman" w:cs="Times New Roman"/>
                <w:color w:val="auto"/>
                <w:szCs w:val="24"/>
              </w:rPr>
            </w:pPr>
            <w:r>
              <w:rPr>
                <w:rFonts w:hint="eastAsia" w:ascii="Times New Roman" w:hAnsi="Times New Roman" w:cs="Times New Roman"/>
                <w:color w:val="auto"/>
                <w:szCs w:val="24"/>
              </w:rPr>
              <w:t>一</w:t>
            </w:r>
          </w:p>
        </w:tc>
        <w:tc>
          <w:tcPr>
            <w:tcW w:w="1161" w:type="dxa"/>
            <w:shd w:val="clear" w:color="auto" w:fill="auto"/>
          </w:tcPr>
          <w:p>
            <w:pPr>
              <w:adjustRightInd w:val="0"/>
              <w:spacing w:line="360" w:lineRule="auto"/>
              <w:jc w:val="center"/>
              <w:rPr>
                <w:rFonts w:ascii="Times New Roman" w:hAnsi="Times New Roman" w:cs="Times New Roman"/>
                <w:color w:val="auto"/>
                <w:szCs w:val="24"/>
              </w:rPr>
            </w:pPr>
            <w:r>
              <w:rPr>
                <w:rFonts w:hint="eastAsia" w:ascii="Times New Roman" w:hAnsi="Times New Roman" w:cs="Times New Roman"/>
                <w:color w:val="auto"/>
                <w:szCs w:val="24"/>
              </w:rPr>
              <w:t>二</w:t>
            </w:r>
          </w:p>
        </w:tc>
        <w:tc>
          <w:tcPr>
            <w:tcW w:w="1188" w:type="dxa"/>
            <w:shd w:val="clear" w:color="auto" w:fill="auto"/>
          </w:tcPr>
          <w:p>
            <w:pPr>
              <w:adjustRightInd w:val="0"/>
              <w:spacing w:line="360" w:lineRule="auto"/>
              <w:jc w:val="center"/>
              <w:rPr>
                <w:rFonts w:ascii="Times New Roman" w:hAnsi="Times New Roman" w:cs="Times New Roman"/>
                <w:color w:val="auto"/>
                <w:szCs w:val="24"/>
              </w:rPr>
            </w:pPr>
            <w:r>
              <w:rPr>
                <w:rFonts w:hint="eastAsia" w:ascii="Times New Roman" w:hAnsi="Times New Roman" w:cs="Times New Roman"/>
                <w:color w:val="auto"/>
                <w:szCs w:val="24"/>
              </w:rPr>
              <w:t>三</w:t>
            </w:r>
          </w:p>
        </w:tc>
        <w:tc>
          <w:tcPr>
            <w:tcW w:w="1284" w:type="dxa"/>
            <w:shd w:val="clear" w:color="auto" w:fill="auto"/>
          </w:tcPr>
          <w:p>
            <w:pPr>
              <w:adjustRightInd w:val="0"/>
              <w:spacing w:line="360" w:lineRule="auto"/>
              <w:jc w:val="center"/>
              <w:rPr>
                <w:rFonts w:ascii="Times New Roman" w:hAnsi="Times New Roman" w:cs="Times New Roman"/>
                <w:color w:val="auto"/>
                <w:szCs w:val="24"/>
              </w:rPr>
            </w:pPr>
            <w:r>
              <w:rPr>
                <w:rFonts w:hint="eastAsia" w:ascii="Times New Roman" w:hAnsi="Times New Roman" w:cs="Times New Roman"/>
                <w:color w:val="auto"/>
                <w:szCs w:val="24"/>
              </w:rPr>
              <w:t>特等奖</w:t>
            </w:r>
          </w:p>
        </w:tc>
        <w:tc>
          <w:tcPr>
            <w:tcW w:w="1350" w:type="dxa"/>
            <w:shd w:val="clear" w:color="auto" w:fill="auto"/>
          </w:tcPr>
          <w:p>
            <w:pPr>
              <w:adjustRightInd w:val="0"/>
              <w:spacing w:line="360" w:lineRule="auto"/>
              <w:jc w:val="center"/>
              <w:rPr>
                <w:rFonts w:ascii="Times New Roman" w:hAnsi="Times New Roman" w:cs="Times New Roman"/>
                <w:color w:val="auto"/>
                <w:szCs w:val="24"/>
              </w:rPr>
            </w:pPr>
            <w:r>
              <w:rPr>
                <w:rFonts w:hint="eastAsia" w:ascii="Times New Roman" w:hAnsi="Times New Roman" w:cs="Times New Roman"/>
                <w:color w:val="auto"/>
                <w:szCs w:val="24"/>
              </w:rPr>
              <w:t>一等奖</w:t>
            </w:r>
          </w:p>
        </w:tc>
        <w:tc>
          <w:tcPr>
            <w:tcW w:w="1302" w:type="dxa"/>
          </w:tcPr>
          <w:p>
            <w:pPr>
              <w:adjustRightInd w:val="0"/>
              <w:spacing w:line="360" w:lineRule="auto"/>
              <w:jc w:val="center"/>
              <w:rPr>
                <w:rFonts w:ascii="Times New Roman" w:hAnsi="Times New Roman" w:cs="Times New Roman"/>
                <w:color w:val="auto"/>
                <w:szCs w:val="24"/>
              </w:rPr>
            </w:pPr>
            <w:r>
              <w:rPr>
                <w:rFonts w:hint="eastAsia" w:ascii="Times New Roman" w:hAnsi="Times New Roman" w:cs="Times New Roman"/>
                <w:color w:val="auto"/>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jc w:val="center"/>
        </w:trPr>
        <w:tc>
          <w:tcPr>
            <w:tcW w:w="2242" w:type="dxa"/>
            <w:shd w:val="clear" w:color="auto" w:fill="auto"/>
          </w:tcPr>
          <w:p>
            <w:pPr>
              <w:adjustRightInd w:val="0"/>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分值</w:t>
            </w:r>
          </w:p>
        </w:tc>
        <w:tc>
          <w:tcPr>
            <w:tcW w:w="1101" w:type="dxa"/>
            <w:shd w:val="clear" w:color="auto" w:fill="auto"/>
          </w:tcPr>
          <w:p>
            <w:pPr>
              <w:adjustRightInd w:val="0"/>
              <w:spacing w:line="360" w:lineRule="auto"/>
              <w:jc w:val="center"/>
              <w:rPr>
                <w:rFonts w:hint="default" w:ascii="Times New Roman" w:hAnsi="Times New Roman" w:eastAsia="宋体" w:cs="Times New Roman"/>
                <w:color w:val="auto"/>
                <w:szCs w:val="24"/>
                <w:lang w:val="en-US" w:eastAsia="zh-CN"/>
              </w:rPr>
            </w:pPr>
            <w:r>
              <w:rPr>
                <w:rFonts w:hint="eastAsia" w:ascii="Times New Roman" w:hAnsi="Times New Roman" w:cs="Times New Roman"/>
                <w:color w:val="auto"/>
                <w:szCs w:val="24"/>
              </w:rPr>
              <w:t>0.</w:t>
            </w:r>
            <w:r>
              <w:rPr>
                <w:rFonts w:hint="eastAsia" w:ascii="Times New Roman" w:hAnsi="Times New Roman" w:cs="Times New Roman"/>
                <w:color w:val="auto"/>
                <w:szCs w:val="24"/>
                <w:lang w:val="en-US" w:eastAsia="zh-CN"/>
              </w:rPr>
              <w:t>06</w:t>
            </w:r>
          </w:p>
        </w:tc>
        <w:tc>
          <w:tcPr>
            <w:tcW w:w="1161" w:type="dxa"/>
            <w:shd w:val="clear" w:color="auto" w:fill="auto"/>
          </w:tcPr>
          <w:p>
            <w:pPr>
              <w:adjustRightInd w:val="0"/>
              <w:spacing w:line="360" w:lineRule="auto"/>
              <w:jc w:val="center"/>
              <w:rPr>
                <w:rFonts w:hint="eastAsia" w:ascii="Times New Roman" w:hAnsi="Times New Roman" w:eastAsia="宋体" w:cs="Times New Roman"/>
                <w:color w:val="auto"/>
                <w:szCs w:val="24"/>
                <w:lang w:val="en-US" w:eastAsia="zh-CN"/>
              </w:rPr>
            </w:pPr>
            <w:r>
              <w:rPr>
                <w:rFonts w:hint="eastAsia" w:ascii="Times New Roman" w:hAnsi="Times New Roman" w:cs="Times New Roman"/>
                <w:color w:val="auto"/>
                <w:szCs w:val="24"/>
              </w:rPr>
              <w:t>0.0</w:t>
            </w:r>
            <w:r>
              <w:rPr>
                <w:rFonts w:hint="eastAsia" w:ascii="Times New Roman" w:hAnsi="Times New Roman" w:cs="Times New Roman"/>
                <w:color w:val="auto"/>
                <w:szCs w:val="24"/>
                <w:lang w:val="en-US" w:eastAsia="zh-CN"/>
              </w:rPr>
              <w:t>3</w:t>
            </w:r>
          </w:p>
        </w:tc>
        <w:tc>
          <w:tcPr>
            <w:tcW w:w="1188" w:type="dxa"/>
            <w:shd w:val="clear" w:color="auto" w:fill="auto"/>
          </w:tcPr>
          <w:p>
            <w:pPr>
              <w:adjustRightInd w:val="0"/>
              <w:spacing w:line="360" w:lineRule="auto"/>
              <w:jc w:val="center"/>
              <w:rPr>
                <w:rFonts w:hint="eastAsia" w:ascii="Times New Roman" w:hAnsi="Times New Roman" w:eastAsia="宋体" w:cs="Times New Roman"/>
                <w:color w:val="auto"/>
                <w:szCs w:val="24"/>
                <w:lang w:val="en-US" w:eastAsia="zh-CN"/>
              </w:rPr>
            </w:pPr>
            <w:r>
              <w:rPr>
                <w:rFonts w:hint="eastAsia" w:ascii="Times New Roman" w:hAnsi="Times New Roman" w:cs="Times New Roman"/>
                <w:color w:val="auto"/>
                <w:szCs w:val="24"/>
              </w:rPr>
              <w:t>0..0</w:t>
            </w:r>
            <w:r>
              <w:rPr>
                <w:rFonts w:hint="eastAsia" w:ascii="Times New Roman" w:hAnsi="Times New Roman" w:cs="Times New Roman"/>
                <w:color w:val="auto"/>
                <w:szCs w:val="24"/>
                <w:lang w:val="en-US" w:eastAsia="zh-CN"/>
              </w:rPr>
              <w:t>1</w:t>
            </w:r>
          </w:p>
        </w:tc>
        <w:tc>
          <w:tcPr>
            <w:tcW w:w="1284" w:type="dxa"/>
            <w:shd w:val="clear" w:color="auto" w:fill="auto"/>
          </w:tcPr>
          <w:p>
            <w:pPr>
              <w:adjustRightInd w:val="0"/>
              <w:spacing w:line="360" w:lineRule="auto"/>
              <w:jc w:val="center"/>
              <w:rPr>
                <w:rFonts w:ascii="Times New Roman" w:hAnsi="Times New Roman" w:cs="Times New Roman"/>
                <w:color w:val="auto"/>
                <w:szCs w:val="24"/>
              </w:rPr>
            </w:pPr>
            <w:r>
              <w:rPr>
                <w:rFonts w:hint="eastAsia" w:ascii="Times New Roman" w:hAnsi="Times New Roman" w:cs="Times New Roman"/>
                <w:color w:val="auto"/>
                <w:szCs w:val="24"/>
              </w:rPr>
              <w:t>0.1</w:t>
            </w:r>
          </w:p>
        </w:tc>
        <w:tc>
          <w:tcPr>
            <w:tcW w:w="1350" w:type="dxa"/>
            <w:shd w:val="clear" w:color="auto" w:fill="auto"/>
          </w:tcPr>
          <w:p>
            <w:pPr>
              <w:adjustRightInd w:val="0"/>
              <w:spacing w:line="360" w:lineRule="auto"/>
              <w:jc w:val="center"/>
              <w:rPr>
                <w:rFonts w:ascii="Times New Roman" w:hAnsi="Times New Roman" w:cs="Times New Roman"/>
                <w:color w:val="auto"/>
                <w:szCs w:val="24"/>
              </w:rPr>
            </w:pPr>
            <w:r>
              <w:rPr>
                <w:rFonts w:hint="eastAsia" w:ascii="Times New Roman" w:hAnsi="Times New Roman" w:cs="Times New Roman"/>
                <w:color w:val="auto"/>
                <w:szCs w:val="24"/>
              </w:rPr>
              <w:t>0.06</w:t>
            </w:r>
          </w:p>
        </w:tc>
        <w:tc>
          <w:tcPr>
            <w:tcW w:w="1302" w:type="dxa"/>
          </w:tcPr>
          <w:p>
            <w:pPr>
              <w:adjustRightInd w:val="0"/>
              <w:spacing w:line="360" w:lineRule="auto"/>
              <w:jc w:val="center"/>
              <w:rPr>
                <w:rFonts w:ascii="Times New Roman" w:hAnsi="Times New Roman" w:cs="Times New Roman"/>
                <w:color w:val="auto"/>
                <w:szCs w:val="24"/>
              </w:rPr>
            </w:pPr>
            <w:r>
              <w:rPr>
                <w:rFonts w:hint="eastAsia" w:ascii="Times New Roman" w:hAnsi="Times New Roman" w:cs="Times New Roman"/>
                <w:color w:val="auto"/>
                <w:szCs w:val="24"/>
              </w:rPr>
              <w:t>0.03</w:t>
            </w:r>
          </w:p>
        </w:tc>
      </w:tr>
    </w:tbl>
    <w:p>
      <w:pPr>
        <w:pStyle w:val="5"/>
        <w:spacing w:line="360" w:lineRule="auto"/>
        <w:rPr>
          <w:color w:val="auto"/>
        </w:rPr>
      </w:pPr>
      <w:r>
        <w:rPr>
          <w:rFonts w:hint="eastAsia"/>
          <w:color w:val="auto"/>
        </w:rPr>
        <w:t>（</w:t>
      </w:r>
      <w:r>
        <w:rPr>
          <w:rFonts w:hint="eastAsia"/>
          <w:color w:val="auto"/>
          <w:lang w:val="en-US" w:eastAsia="zh-CN"/>
        </w:rPr>
        <w:t>6</w:t>
      </w:r>
      <w:r>
        <w:rPr>
          <w:rFonts w:hint="eastAsia"/>
          <w:color w:val="auto"/>
        </w:rPr>
        <w:t>）科研项目（选达）</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307"/>
        <w:gridCol w:w="2058"/>
        <w:gridCol w:w="2058"/>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45"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级别</w:t>
            </w:r>
          </w:p>
        </w:tc>
        <w:tc>
          <w:tcPr>
            <w:tcW w:w="2307"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国家级</w:t>
            </w:r>
          </w:p>
        </w:tc>
        <w:tc>
          <w:tcPr>
            <w:tcW w:w="2058"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省级</w:t>
            </w:r>
          </w:p>
        </w:tc>
        <w:tc>
          <w:tcPr>
            <w:tcW w:w="2058"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校级</w:t>
            </w:r>
          </w:p>
        </w:tc>
        <w:tc>
          <w:tcPr>
            <w:tcW w:w="2060" w:type="dxa"/>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45"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分值</w:t>
            </w:r>
          </w:p>
        </w:tc>
        <w:tc>
          <w:tcPr>
            <w:tcW w:w="2307" w:type="dxa"/>
            <w:shd w:val="clear" w:color="auto" w:fill="auto"/>
            <w:vAlign w:val="center"/>
          </w:tcPr>
          <w:p>
            <w:pPr>
              <w:adjustRightInd w:val="0"/>
              <w:spacing w:line="360" w:lineRule="auto"/>
              <w:jc w:val="center"/>
              <w:rPr>
                <w:rFonts w:ascii="Calibri" w:hAnsi="Calibri" w:cs="Times New Roman"/>
                <w:color w:val="auto"/>
              </w:rPr>
            </w:pPr>
            <w:r>
              <w:rPr>
                <w:rFonts w:hint="eastAsia" w:ascii="Calibri" w:hAnsi="Calibri" w:cs="Times New Roman"/>
                <w:color w:val="auto"/>
              </w:rPr>
              <w:t>0.5</w:t>
            </w:r>
          </w:p>
        </w:tc>
        <w:tc>
          <w:tcPr>
            <w:tcW w:w="2058" w:type="dxa"/>
            <w:shd w:val="clear" w:color="auto" w:fill="auto"/>
            <w:vAlign w:val="center"/>
          </w:tcPr>
          <w:p>
            <w:pPr>
              <w:adjustRightInd w:val="0"/>
              <w:spacing w:line="360" w:lineRule="auto"/>
              <w:jc w:val="center"/>
              <w:rPr>
                <w:rFonts w:ascii="Calibri" w:hAnsi="Calibri" w:cs="Times New Roman"/>
                <w:color w:val="auto"/>
              </w:rPr>
            </w:pPr>
            <w:r>
              <w:rPr>
                <w:rFonts w:hint="eastAsia" w:ascii="Calibri" w:hAnsi="Calibri" w:cs="Times New Roman"/>
                <w:color w:val="auto"/>
              </w:rPr>
              <w:t>0.3</w:t>
            </w:r>
          </w:p>
        </w:tc>
        <w:tc>
          <w:tcPr>
            <w:tcW w:w="2058" w:type="dxa"/>
            <w:shd w:val="clear" w:color="auto" w:fill="auto"/>
            <w:vAlign w:val="center"/>
          </w:tcPr>
          <w:p>
            <w:pPr>
              <w:adjustRightInd w:val="0"/>
              <w:spacing w:line="360" w:lineRule="auto"/>
              <w:jc w:val="center"/>
              <w:rPr>
                <w:rFonts w:ascii="Calibri" w:hAnsi="Calibri" w:cs="Times New Roman"/>
                <w:color w:val="auto"/>
              </w:rPr>
            </w:pPr>
            <w:r>
              <w:rPr>
                <w:rFonts w:hint="eastAsia" w:ascii="Calibri" w:hAnsi="Calibri" w:cs="Times New Roman"/>
                <w:color w:val="auto"/>
              </w:rPr>
              <w:t>0.1</w:t>
            </w:r>
          </w:p>
        </w:tc>
        <w:tc>
          <w:tcPr>
            <w:tcW w:w="2060" w:type="dxa"/>
            <w:vAlign w:val="center"/>
          </w:tcPr>
          <w:p>
            <w:pPr>
              <w:adjustRightInd w:val="0"/>
              <w:spacing w:line="360" w:lineRule="auto"/>
              <w:jc w:val="center"/>
              <w:rPr>
                <w:rFonts w:ascii="Calibri" w:hAnsi="Calibri" w:cs="Times New Roman"/>
                <w:color w:val="auto"/>
              </w:rPr>
            </w:pPr>
            <w:r>
              <w:rPr>
                <w:rFonts w:hint="eastAsia" w:ascii="Calibri" w:hAnsi="Calibri" w:cs="Times New Roman"/>
                <w:color w:val="auto"/>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45"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说明</w:t>
            </w:r>
          </w:p>
        </w:tc>
        <w:tc>
          <w:tcPr>
            <w:tcW w:w="8483" w:type="dxa"/>
            <w:gridSpan w:val="4"/>
            <w:shd w:val="clear" w:color="auto" w:fill="auto"/>
            <w:vAlign w:val="center"/>
          </w:tcPr>
          <w:p>
            <w:pPr>
              <w:numPr>
                <w:ilvl w:val="0"/>
                <w:numId w:val="2"/>
              </w:numPr>
              <w:adjustRightInd w:val="0"/>
              <w:spacing w:line="240" w:lineRule="auto"/>
              <w:ind w:left="360" w:hanging="360"/>
              <w:rPr>
                <w:rFonts w:ascii="Calibri" w:hAnsi="Calibri" w:cs="Times New Roman"/>
                <w:color w:val="auto"/>
              </w:rPr>
            </w:pPr>
            <w:r>
              <w:rPr>
                <w:rFonts w:hint="eastAsia" w:ascii="Calibri" w:hAnsi="Calibri" w:cs="Times New Roman"/>
                <w:color w:val="auto"/>
              </w:rPr>
              <w:t>主持多级别项目，如为同一主题，按最高级别加分，分值不累计；</w:t>
            </w:r>
          </w:p>
          <w:p>
            <w:pPr>
              <w:numPr>
                <w:ilvl w:val="0"/>
                <w:numId w:val="2"/>
              </w:numPr>
              <w:adjustRightInd w:val="0"/>
              <w:spacing w:line="240" w:lineRule="auto"/>
              <w:ind w:left="360" w:hanging="360"/>
              <w:rPr>
                <w:rFonts w:ascii="Calibri" w:hAnsi="Calibri" w:cs="Times New Roman"/>
                <w:color w:val="auto"/>
              </w:rPr>
            </w:pPr>
            <w:r>
              <w:rPr>
                <w:rFonts w:hint="eastAsia" w:ascii="Calibri" w:hAnsi="Calibri" w:cs="Times New Roman"/>
                <w:color w:val="auto"/>
              </w:rPr>
              <w:t>主持的科研项目要结题才能加分，若项目持续时间较长，按结题对应的时间来加分。</w:t>
            </w:r>
          </w:p>
          <w:p>
            <w:pPr>
              <w:numPr>
                <w:ilvl w:val="0"/>
                <w:numId w:val="2"/>
              </w:numPr>
              <w:adjustRightInd w:val="0"/>
              <w:spacing w:line="240" w:lineRule="auto"/>
              <w:ind w:left="360" w:hanging="360"/>
              <w:rPr>
                <w:rFonts w:ascii="Calibri" w:hAnsi="Calibri" w:cs="Times New Roman"/>
                <w:color w:val="auto"/>
              </w:rPr>
            </w:pPr>
            <w:r>
              <w:rPr>
                <w:rFonts w:hint="eastAsia" w:ascii="宋体" w:hAnsi="宋体" w:cs="Times New Roman"/>
                <w:color w:val="auto"/>
                <w:szCs w:val="18"/>
              </w:rPr>
              <w:t>以上分值是对科研项目负责人而言，其他成员分值均减少6</w:t>
            </w:r>
            <w:r>
              <w:rPr>
                <w:rFonts w:ascii="宋体" w:hAnsi="宋体" w:cs="Times New Roman"/>
                <w:color w:val="auto"/>
                <w:szCs w:val="18"/>
              </w:rPr>
              <w:t>0</w:t>
            </w:r>
            <w:r>
              <w:rPr>
                <w:rFonts w:hint="eastAsia" w:ascii="宋体" w:hAnsi="宋体" w:cs="Times New Roman"/>
                <w:color w:val="auto"/>
                <w:szCs w:val="18"/>
              </w:rPr>
              <w:t>%。</w:t>
            </w:r>
          </w:p>
        </w:tc>
      </w:tr>
    </w:tbl>
    <w:p>
      <w:pPr>
        <w:pStyle w:val="5"/>
        <w:spacing w:line="360" w:lineRule="auto"/>
        <w:rPr>
          <w:color w:val="auto"/>
        </w:rPr>
      </w:pPr>
      <w:r>
        <w:rPr>
          <w:rFonts w:hint="eastAsia"/>
          <w:color w:val="auto"/>
        </w:rPr>
        <w:t>（</w:t>
      </w:r>
      <w:r>
        <w:rPr>
          <w:rFonts w:hint="eastAsia"/>
          <w:color w:val="auto"/>
          <w:lang w:val="en-US" w:eastAsia="zh-CN"/>
        </w:rPr>
        <w:t>7</w:t>
      </w:r>
      <w:r>
        <w:rPr>
          <w:rFonts w:hint="eastAsia"/>
          <w:color w:val="auto"/>
        </w:rPr>
        <w:t>）参加学术会议（选达）</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693"/>
        <w:gridCol w:w="286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994"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级别</w:t>
            </w:r>
          </w:p>
        </w:tc>
        <w:tc>
          <w:tcPr>
            <w:tcW w:w="2693" w:type="dxa"/>
            <w:shd w:val="clear" w:color="auto" w:fill="auto"/>
            <w:vAlign w:val="center"/>
          </w:tcPr>
          <w:p>
            <w:pPr>
              <w:adjustRightInd w:val="0"/>
              <w:spacing w:line="360" w:lineRule="auto"/>
              <w:jc w:val="center"/>
              <w:rPr>
                <w:rFonts w:hint="default" w:ascii="Calibri" w:hAnsi="Calibri" w:eastAsia="宋体" w:cs="Times New Roman"/>
                <w:b/>
                <w:color w:val="auto"/>
                <w:lang w:val="en-US" w:eastAsia="zh-CN"/>
              </w:rPr>
            </w:pPr>
            <w:r>
              <w:rPr>
                <w:rFonts w:hint="eastAsia" w:ascii="Calibri" w:hAnsi="Calibri" w:cs="Times New Roman"/>
                <w:b/>
                <w:color w:val="auto"/>
                <w:lang w:val="en-US" w:eastAsia="zh-CN"/>
              </w:rPr>
              <w:t>国际性/全国性化学学科学术会议并做口头报告</w:t>
            </w:r>
          </w:p>
        </w:tc>
        <w:tc>
          <w:tcPr>
            <w:tcW w:w="2864" w:type="dxa"/>
            <w:shd w:val="clear" w:color="auto" w:fill="auto"/>
            <w:vAlign w:val="center"/>
          </w:tcPr>
          <w:p>
            <w:pPr>
              <w:adjustRightInd w:val="0"/>
              <w:spacing w:line="360" w:lineRule="auto"/>
              <w:jc w:val="center"/>
              <w:rPr>
                <w:rFonts w:hint="default" w:ascii="Calibri" w:hAnsi="Calibri" w:eastAsia="宋体" w:cs="Times New Roman"/>
                <w:b/>
                <w:color w:val="auto"/>
                <w:lang w:val="en-US" w:eastAsia="zh-CN"/>
              </w:rPr>
            </w:pPr>
            <w:r>
              <w:rPr>
                <w:rFonts w:hint="eastAsia" w:ascii="Calibri" w:hAnsi="Calibri" w:cs="Times New Roman"/>
                <w:b/>
                <w:color w:val="auto"/>
                <w:lang w:val="en-US" w:eastAsia="zh-CN"/>
              </w:rPr>
              <w:t>参加全国性/国际性会议且论文被SCI收录</w:t>
            </w:r>
          </w:p>
        </w:tc>
        <w:tc>
          <w:tcPr>
            <w:tcW w:w="3077"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lang w:val="en-US" w:eastAsia="zh-CN"/>
              </w:rPr>
              <w:t>参加全国性/国际性化学学科学术会议且论文被EI收录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94"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分值</w:t>
            </w:r>
          </w:p>
        </w:tc>
        <w:tc>
          <w:tcPr>
            <w:tcW w:w="2693" w:type="dxa"/>
            <w:shd w:val="clear" w:color="auto" w:fill="auto"/>
            <w:vAlign w:val="center"/>
          </w:tcPr>
          <w:p>
            <w:pPr>
              <w:adjustRightInd w:val="0"/>
              <w:spacing w:line="360" w:lineRule="auto"/>
              <w:jc w:val="center"/>
              <w:rPr>
                <w:rFonts w:hint="default" w:ascii="Calibri" w:hAnsi="Calibri" w:eastAsia="宋体" w:cs="Times New Roman"/>
                <w:color w:val="auto"/>
                <w:lang w:val="en-US" w:eastAsia="zh-CN"/>
              </w:rPr>
            </w:pPr>
            <w:r>
              <w:rPr>
                <w:rFonts w:hint="eastAsia" w:ascii="Calibri" w:hAnsi="Calibri" w:cs="Times New Roman"/>
                <w:color w:val="auto"/>
              </w:rPr>
              <w:t>0.</w:t>
            </w:r>
            <w:r>
              <w:rPr>
                <w:rFonts w:hint="eastAsia" w:ascii="Calibri" w:hAnsi="Calibri" w:cs="Times New Roman"/>
                <w:color w:val="auto"/>
                <w:lang w:val="en-US" w:eastAsia="zh-CN"/>
              </w:rPr>
              <w:t>2/0.1</w:t>
            </w:r>
          </w:p>
        </w:tc>
        <w:tc>
          <w:tcPr>
            <w:tcW w:w="2864" w:type="dxa"/>
            <w:shd w:val="clear" w:color="auto" w:fill="auto"/>
            <w:vAlign w:val="center"/>
          </w:tcPr>
          <w:p>
            <w:pPr>
              <w:adjustRightInd w:val="0"/>
              <w:spacing w:line="360" w:lineRule="auto"/>
              <w:jc w:val="center"/>
              <w:rPr>
                <w:rFonts w:hint="eastAsia" w:ascii="Calibri" w:hAnsi="Calibri" w:eastAsia="宋体" w:cs="Times New Roman"/>
                <w:color w:val="auto"/>
                <w:lang w:val="en-US" w:eastAsia="zh-CN"/>
              </w:rPr>
            </w:pPr>
            <w:r>
              <w:rPr>
                <w:rFonts w:hint="eastAsia" w:ascii="Calibri" w:hAnsi="Calibri" w:cs="Times New Roman"/>
                <w:color w:val="auto"/>
              </w:rPr>
              <w:t>0.</w:t>
            </w:r>
            <w:r>
              <w:rPr>
                <w:rFonts w:hint="eastAsia" w:ascii="Calibri" w:hAnsi="Calibri" w:cs="Times New Roman"/>
                <w:color w:val="auto"/>
                <w:lang w:val="en-US" w:eastAsia="zh-CN"/>
              </w:rPr>
              <w:t>2</w:t>
            </w:r>
          </w:p>
        </w:tc>
        <w:tc>
          <w:tcPr>
            <w:tcW w:w="3077" w:type="dxa"/>
            <w:shd w:val="clear" w:color="auto" w:fill="auto"/>
            <w:vAlign w:val="center"/>
          </w:tcPr>
          <w:p>
            <w:pPr>
              <w:adjustRightInd w:val="0"/>
              <w:spacing w:line="360" w:lineRule="auto"/>
              <w:jc w:val="center"/>
              <w:rPr>
                <w:rFonts w:ascii="Calibri" w:hAnsi="Calibri" w:cs="Times New Roman"/>
                <w:color w:val="auto"/>
              </w:rPr>
            </w:pPr>
            <w:r>
              <w:rPr>
                <w:rFonts w:hint="eastAsia" w:ascii="Calibri" w:hAnsi="Calibri" w:cs="Times New Roman"/>
                <w:color w:val="auto"/>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94" w:type="dxa"/>
            <w:shd w:val="clear" w:color="auto" w:fill="auto"/>
            <w:vAlign w:val="center"/>
          </w:tcPr>
          <w:p>
            <w:pPr>
              <w:adjustRightInd w:val="0"/>
              <w:spacing w:line="360" w:lineRule="auto"/>
              <w:jc w:val="center"/>
              <w:rPr>
                <w:rFonts w:ascii="Calibri" w:hAnsi="Calibri" w:cs="Times New Roman"/>
                <w:b/>
                <w:color w:val="auto"/>
              </w:rPr>
            </w:pPr>
            <w:r>
              <w:rPr>
                <w:rFonts w:hint="eastAsia" w:ascii="Calibri" w:hAnsi="Calibri" w:cs="Times New Roman"/>
                <w:b/>
                <w:color w:val="auto"/>
              </w:rPr>
              <w:t>说明</w:t>
            </w:r>
          </w:p>
        </w:tc>
        <w:tc>
          <w:tcPr>
            <w:tcW w:w="8634" w:type="dxa"/>
            <w:gridSpan w:val="3"/>
            <w:shd w:val="clear" w:color="auto" w:fill="auto"/>
            <w:vAlign w:val="center"/>
          </w:tcPr>
          <w:p>
            <w:pPr>
              <w:numPr>
                <w:ilvl w:val="0"/>
                <w:numId w:val="3"/>
              </w:numPr>
              <w:adjustRightInd w:val="0"/>
              <w:spacing w:line="240" w:lineRule="auto"/>
              <w:ind w:left="360" w:hanging="360"/>
              <w:rPr>
                <w:rFonts w:ascii="Calibri" w:hAnsi="Calibri" w:cs="Times New Roman"/>
                <w:color w:val="auto"/>
              </w:rPr>
            </w:pPr>
            <w:r>
              <w:rPr>
                <w:rFonts w:hint="eastAsia" w:ascii="Calibri" w:hAnsi="Calibri" w:cs="Times New Roman"/>
                <w:color w:val="auto"/>
                <w:lang w:val="en-US" w:eastAsia="zh-CN"/>
              </w:rPr>
              <w:t>参加的学术会议必须是化学学科类的。</w:t>
            </w:r>
          </w:p>
          <w:p>
            <w:pPr>
              <w:numPr>
                <w:ilvl w:val="0"/>
                <w:numId w:val="3"/>
              </w:numPr>
              <w:adjustRightInd w:val="0"/>
              <w:spacing w:line="240" w:lineRule="auto"/>
              <w:ind w:left="360" w:hanging="360"/>
              <w:rPr>
                <w:rFonts w:ascii="Calibri" w:hAnsi="Calibri" w:cs="Times New Roman"/>
                <w:color w:val="auto"/>
              </w:rPr>
            </w:pPr>
            <w:r>
              <w:rPr>
                <w:rFonts w:hint="eastAsia" w:ascii="Calibri" w:hAnsi="Calibri" w:cs="Times New Roman"/>
                <w:color w:val="auto"/>
                <w:lang w:val="en-US" w:eastAsia="zh-CN"/>
              </w:rPr>
              <w:t>此项加分需要提供以下材料：会议邀请函、会议日程表、参加会议车票住宿等行程证明复印件、论文收录号、投稿论文全文等，导师应当在以上材料上说明情况属实并签名</w:t>
            </w:r>
            <w:r>
              <w:rPr>
                <w:rFonts w:hint="eastAsia" w:ascii="Calibri" w:hAnsi="Calibri" w:cs="Times New Roman"/>
                <w:color w:val="auto"/>
              </w:rPr>
              <w:t>。</w:t>
            </w:r>
          </w:p>
          <w:p>
            <w:pPr>
              <w:numPr>
                <w:ilvl w:val="0"/>
                <w:numId w:val="3"/>
              </w:numPr>
              <w:adjustRightInd w:val="0"/>
              <w:spacing w:line="240" w:lineRule="auto"/>
              <w:ind w:left="360" w:hanging="360"/>
              <w:rPr>
                <w:rFonts w:ascii="Calibri" w:hAnsi="Calibri" w:cs="Times New Roman"/>
                <w:color w:val="auto"/>
              </w:rPr>
            </w:pPr>
            <w:r>
              <w:rPr>
                <w:rFonts w:hint="eastAsia" w:ascii="宋体" w:hAnsi="宋体" w:cs="Times New Roman"/>
                <w:color w:val="auto"/>
                <w:szCs w:val="18"/>
                <w:lang w:val="en-US" w:eastAsia="zh-CN"/>
              </w:rPr>
              <w:t>会议论文只计算第一作者</w:t>
            </w:r>
            <w:r>
              <w:rPr>
                <w:rFonts w:hint="eastAsia" w:ascii="宋体" w:hAnsi="宋体" w:cs="Times New Roman"/>
                <w:color w:val="auto"/>
                <w:szCs w:val="18"/>
              </w:rPr>
              <w:t>。</w:t>
            </w:r>
          </w:p>
        </w:tc>
      </w:tr>
    </w:tbl>
    <w:p>
      <w:pPr>
        <w:adjustRightInd w:val="0"/>
        <w:spacing w:line="360" w:lineRule="auto"/>
        <w:ind w:left="0"/>
        <w:rPr>
          <w:rFonts w:hint="eastAsia" w:ascii="宋体" w:hAnsi="宋体" w:cs="Times New Roman"/>
          <w:color w:val="auto"/>
          <w:szCs w:val="21"/>
        </w:rPr>
      </w:pPr>
    </w:p>
    <w:p>
      <w:pPr>
        <w:adjustRightInd w:val="0"/>
        <w:spacing w:line="360" w:lineRule="auto"/>
        <w:ind w:left="720"/>
        <w:rPr>
          <w:rFonts w:ascii="宋体" w:hAnsi="宋体" w:cs="Times New Roman"/>
          <w:color w:val="auto"/>
          <w:szCs w:val="21"/>
        </w:rPr>
      </w:pPr>
      <w:r>
        <w:rPr>
          <w:rFonts w:hint="eastAsia" w:ascii="宋体" w:hAnsi="宋体" w:cs="Times New Roman"/>
          <w:color w:val="auto"/>
          <w:szCs w:val="21"/>
        </w:rPr>
        <w:t>参加全国性/国际性的学术会议并进行口头报告加0.2，需提供导师证明。</w:t>
      </w:r>
      <w:r>
        <w:rPr>
          <w:rFonts w:ascii="宋体" w:hAnsi="宋体" w:cs="Times New Roman"/>
          <w:color w:val="auto"/>
          <w:szCs w:val="21"/>
        </w:rPr>
        <w:br w:type="page"/>
      </w:r>
    </w:p>
    <w:p>
      <w:pPr>
        <w:pStyle w:val="3"/>
        <w:rPr>
          <w:color w:val="auto"/>
        </w:rPr>
      </w:pPr>
      <w:r>
        <w:rPr>
          <w:rFonts w:hint="eastAsia"/>
          <w:color w:val="auto"/>
        </w:rPr>
        <w:t>（三）</w:t>
      </w:r>
      <w:r>
        <w:rPr>
          <w:color w:val="auto"/>
        </w:rPr>
        <w:t>文艺体育素养</w:t>
      </w:r>
      <w:r>
        <w:rPr>
          <w:rFonts w:hint="eastAsia"/>
          <w:color w:val="auto"/>
        </w:rPr>
        <w:t>（附表3）</w:t>
      </w:r>
    </w:p>
    <w:p>
      <w:pPr>
        <w:pStyle w:val="4"/>
        <w:spacing w:line="360" w:lineRule="auto"/>
        <w:rPr>
          <w:color w:val="auto"/>
        </w:rPr>
      </w:pPr>
      <w:r>
        <w:rPr>
          <w:rFonts w:hint="eastAsia"/>
          <w:color w:val="auto"/>
        </w:rPr>
        <w:t>1.文艺类（选达）</w:t>
      </w:r>
    </w:p>
    <w:tbl>
      <w:tblPr>
        <w:tblStyle w:val="12"/>
        <w:tblpPr w:leftFromText="180" w:rightFromText="180" w:vertAnchor="text" w:horzAnchor="margin" w:tblpY="25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80"/>
        <w:gridCol w:w="570"/>
        <w:gridCol w:w="553"/>
        <w:gridCol w:w="553"/>
        <w:gridCol w:w="601"/>
        <w:gridCol w:w="555"/>
        <w:gridCol w:w="562"/>
        <w:gridCol w:w="605"/>
        <w:gridCol w:w="605"/>
        <w:gridCol w:w="662"/>
        <w:gridCol w:w="547"/>
        <w:gridCol w:w="568"/>
        <w:gridCol w:w="553"/>
        <w:gridCol w:w="551"/>
        <w:gridCol w:w="630"/>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项目</w:t>
            </w:r>
          </w:p>
        </w:tc>
        <w:tc>
          <w:tcPr>
            <w:tcW w:w="8664" w:type="dxa"/>
            <w:gridSpan w:val="15"/>
            <w:vAlign w:val="center"/>
          </w:tcPr>
          <w:p>
            <w:pPr>
              <w:jc w:val="center"/>
              <w:rPr>
                <w:rFonts w:ascii="宋体" w:hAnsi="宋体" w:cs="Times New Roman"/>
                <w:b/>
                <w:color w:val="auto"/>
                <w:szCs w:val="18"/>
              </w:rPr>
            </w:pPr>
            <w:r>
              <w:rPr>
                <w:rFonts w:hint="eastAsia" w:ascii="宋体" w:hAnsi="宋体" w:cs="Times New Roman"/>
                <w:b/>
                <w:color w:val="auto"/>
                <w:szCs w:val="18"/>
              </w:rPr>
              <w:t>在国家级、省级、校级、多院系级、院级文艺汇演中获得1-</w:t>
            </w:r>
            <w:r>
              <w:rPr>
                <w:rFonts w:ascii="宋体" w:hAnsi="宋体" w:cs="Times New Roman"/>
                <w:b/>
                <w:color w:val="auto"/>
                <w:szCs w:val="18"/>
              </w:rPr>
              <w:t>3</w:t>
            </w:r>
            <w:r>
              <w:rPr>
                <w:rFonts w:hint="eastAsia" w:ascii="宋体" w:hAnsi="宋体" w:cs="Times New Roman"/>
                <w:b/>
                <w:color w:val="auto"/>
                <w:szCs w:val="1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级 别</w:t>
            </w:r>
          </w:p>
        </w:tc>
        <w:tc>
          <w:tcPr>
            <w:tcW w:w="1676" w:type="dxa"/>
            <w:gridSpan w:val="3"/>
            <w:vAlign w:val="center"/>
          </w:tcPr>
          <w:p>
            <w:pPr>
              <w:jc w:val="center"/>
              <w:rPr>
                <w:rFonts w:ascii="宋体" w:hAnsi="宋体" w:cs="Times New Roman"/>
                <w:color w:val="auto"/>
                <w:szCs w:val="18"/>
              </w:rPr>
            </w:pPr>
            <w:r>
              <w:rPr>
                <w:rFonts w:hint="eastAsia" w:ascii="宋体" w:hAnsi="宋体" w:cs="Times New Roman"/>
                <w:color w:val="auto"/>
                <w:szCs w:val="18"/>
              </w:rPr>
              <w:t>国家级</w:t>
            </w:r>
          </w:p>
        </w:tc>
        <w:tc>
          <w:tcPr>
            <w:tcW w:w="1718" w:type="dxa"/>
            <w:gridSpan w:val="3"/>
            <w:vAlign w:val="center"/>
          </w:tcPr>
          <w:p>
            <w:pPr>
              <w:jc w:val="center"/>
              <w:rPr>
                <w:rFonts w:ascii="宋体" w:hAnsi="宋体" w:cs="Times New Roman"/>
                <w:color w:val="auto"/>
                <w:szCs w:val="18"/>
              </w:rPr>
            </w:pPr>
            <w:r>
              <w:rPr>
                <w:rFonts w:hint="eastAsia" w:ascii="宋体" w:hAnsi="宋体" w:cs="Times New Roman"/>
                <w:color w:val="auto"/>
                <w:szCs w:val="18"/>
              </w:rPr>
              <w:t>省级</w:t>
            </w:r>
          </w:p>
        </w:tc>
        <w:tc>
          <w:tcPr>
            <w:tcW w:w="1872" w:type="dxa"/>
            <w:gridSpan w:val="3"/>
            <w:vAlign w:val="center"/>
          </w:tcPr>
          <w:p>
            <w:pPr>
              <w:jc w:val="center"/>
              <w:rPr>
                <w:rFonts w:ascii="宋体" w:hAnsi="宋体" w:cs="Times New Roman"/>
                <w:color w:val="auto"/>
                <w:szCs w:val="18"/>
              </w:rPr>
            </w:pPr>
            <w:r>
              <w:rPr>
                <w:rFonts w:hint="eastAsia" w:ascii="宋体" w:hAnsi="宋体" w:cs="Times New Roman"/>
                <w:color w:val="auto"/>
                <w:szCs w:val="18"/>
              </w:rPr>
              <w:t>校级</w:t>
            </w:r>
          </w:p>
        </w:tc>
        <w:tc>
          <w:tcPr>
            <w:tcW w:w="1668" w:type="dxa"/>
            <w:gridSpan w:val="3"/>
            <w:vAlign w:val="center"/>
          </w:tcPr>
          <w:p>
            <w:pPr>
              <w:jc w:val="center"/>
              <w:rPr>
                <w:rFonts w:ascii="宋体" w:hAnsi="宋体" w:cs="Times New Roman"/>
                <w:color w:val="auto"/>
                <w:szCs w:val="18"/>
              </w:rPr>
            </w:pPr>
            <w:r>
              <w:rPr>
                <w:rFonts w:hint="eastAsia" w:ascii="宋体" w:hAnsi="宋体" w:cs="Times New Roman"/>
                <w:color w:val="auto"/>
                <w:szCs w:val="18"/>
              </w:rPr>
              <w:t>多院系级</w:t>
            </w:r>
          </w:p>
        </w:tc>
        <w:tc>
          <w:tcPr>
            <w:tcW w:w="1730" w:type="dxa"/>
            <w:gridSpan w:val="3"/>
            <w:vAlign w:val="center"/>
          </w:tcPr>
          <w:p>
            <w:pPr>
              <w:jc w:val="center"/>
              <w:rPr>
                <w:rFonts w:ascii="宋体" w:hAnsi="宋体" w:cs="Times New Roman"/>
                <w:color w:val="auto"/>
                <w:szCs w:val="18"/>
              </w:rPr>
            </w:pPr>
            <w:r>
              <w:rPr>
                <w:rFonts w:hint="eastAsia" w:ascii="宋体" w:hAnsi="宋体" w:cs="Times New Roman"/>
                <w:color w:val="auto"/>
                <w:szCs w:val="1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等 级</w:t>
            </w:r>
          </w:p>
        </w:tc>
        <w:tc>
          <w:tcPr>
            <w:tcW w:w="570"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一</w:t>
            </w:r>
          </w:p>
        </w:tc>
        <w:tc>
          <w:tcPr>
            <w:tcW w:w="553"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二</w:t>
            </w:r>
          </w:p>
        </w:tc>
        <w:tc>
          <w:tcPr>
            <w:tcW w:w="553"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三</w:t>
            </w:r>
          </w:p>
        </w:tc>
        <w:tc>
          <w:tcPr>
            <w:tcW w:w="601"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一</w:t>
            </w:r>
          </w:p>
        </w:tc>
        <w:tc>
          <w:tcPr>
            <w:tcW w:w="555"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二</w:t>
            </w:r>
          </w:p>
        </w:tc>
        <w:tc>
          <w:tcPr>
            <w:tcW w:w="562"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三</w:t>
            </w:r>
          </w:p>
        </w:tc>
        <w:tc>
          <w:tcPr>
            <w:tcW w:w="605"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一</w:t>
            </w:r>
          </w:p>
        </w:tc>
        <w:tc>
          <w:tcPr>
            <w:tcW w:w="605"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二</w:t>
            </w:r>
          </w:p>
        </w:tc>
        <w:tc>
          <w:tcPr>
            <w:tcW w:w="662"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三</w:t>
            </w:r>
          </w:p>
        </w:tc>
        <w:tc>
          <w:tcPr>
            <w:tcW w:w="547"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一</w:t>
            </w:r>
          </w:p>
        </w:tc>
        <w:tc>
          <w:tcPr>
            <w:tcW w:w="568"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二</w:t>
            </w:r>
          </w:p>
        </w:tc>
        <w:tc>
          <w:tcPr>
            <w:tcW w:w="553"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三</w:t>
            </w:r>
          </w:p>
        </w:tc>
        <w:tc>
          <w:tcPr>
            <w:tcW w:w="551"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一</w:t>
            </w:r>
          </w:p>
        </w:tc>
        <w:tc>
          <w:tcPr>
            <w:tcW w:w="630"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二</w:t>
            </w:r>
          </w:p>
        </w:tc>
        <w:tc>
          <w:tcPr>
            <w:tcW w:w="549" w:type="dxa"/>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84" w:type="dxa"/>
            <w:vMerge w:val="restart"/>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加 分</w:t>
            </w:r>
          </w:p>
        </w:tc>
        <w:tc>
          <w:tcPr>
            <w:tcW w:w="480" w:type="dxa"/>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主要</w:t>
            </w:r>
          </w:p>
        </w:tc>
        <w:tc>
          <w:tcPr>
            <w:tcW w:w="570"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553"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25</w:t>
            </w:r>
          </w:p>
        </w:tc>
        <w:tc>
          <w:tcPr>
            <w:tcW w:w="553"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601"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19</w:t>
            </w:r>
          </w:p>
        </w:tc>
        <w:tc>
          <w:tcPr>
            <w:tcW w:w="555"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17</w:t>
            </w:r>
          </w:p>
        </w:tc>
        <w:tc>
          <w:tcPr>
            <w:tcW w:w="562"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15</w:t>
            </w:r>
          </w:p>
        </w:tc>
        <w:tc>
          <w:tcPr>
            <w:tcW w:w="605"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12</w:t>
            </w:r>
          </w:p>
        </w:tc>
        <w:tc>
          <w:tcPr>
            <w:tcW w:w="605"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w:t>
            </w:r>
          </w:p>
        </w:tc>
        <w:tc>
          <w:tcPr>
            <w:tcW w:w="662"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8</w:t>
            </w:r>
          </w:p>
        </w:tc>
        <w:tc>
          <w:tcPr>
            <w:tcW w:w="547"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w:t>
            </w:r>
          </w:p>
        </w:tc>
        <w:tc>
          <w:tcPr>
            <w:tcW w:w="568"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4</w:t>
            </w:r>
          </w:p>
        </w:tc>
        <w:tc>
          <w:tcPr>
            <w:tcW w:w="553"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551"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630"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549"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84" w:type="dxa"/>
            <w:vMerge w:val="continue"/>
            <w:vAlign w:val="center"/>
          </w:tcPr>
          <w:p>
            <w:pPr>
              <w:tabs>
                <w:tab w:val="left" w:pos="512"/>
                <w:tab w:val="left" w:pos="6660"/>
              </w:tabs>
              <w:ind w:left="72"/>
              <w:rPr>
                <w:rFonts w:ascii="宋体" w:hAnsi="宋体" w:cs="Times New Roman"/>
                <w:bCs/>
                <w:color w:val="auto"/>
                <w:szCs w:val="18"/>
              </w:rPr>
            </w:pPr>
          </w:p>
        </w:tc>
        <w:tc>
          <w:tcPr>
            <w:tcW w:w="480" w:type="dxa"/>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一般</w:t>
            </w:r>
          </w:p>
        </w:tc>
        <w:tc>
          <w:tcPr>
            <w:tcW w:w="570"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19</w:t>
            </w:r>
          </w:p>
        </w:tc>
        <w:tc>
          <w:tcPr>
            <w:tcW w:w="553"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17</w:t>
            </w:r>
          </w:p>
        </w:tc>
        <w:tc>
          <w:tcPr>
            <w:tcW w:w="553"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15</w:t>
            </w:r>
          </w:p>
        </w:tc>
        <w:tc>
          <w:tcPr>
            <w:tcW w:w="601"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14</w:t>
            </w:r>
          </w:p>
        </w:tc>
        <w:tc>
          <w:tcPr>
            <w:tcW w:w="555"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12</w:t>
            </w:r>
          </w:p>
        </w:tc>
        <w:tc>
          <w:tcPr>
            <w:tcW w:w="562"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w:t>
            </w:r>
          </w:p>
        </w:tc>
        <w:tc>
          <w:tcPr>
            <w:tcW w:w="605"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7</w:t>
            </w:r>
          </w:p>
        </w:tc>
        <w:tc>
          <w:tcPr>
            <w:tcW w:w="605"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6</w:t>
            </w:r>
          </w:p>
        </w:tc>
        <w:tc>
          <w:tcPr>
            <w:tcW w:w="662"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w:t>
            </w:r>
          </w:p>
        </w:tc>
        <w:tc>
          <w:tcPr>
            <w:tcW w:w="547"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w:t>
            </w:r>
          </w:p>
        </w:tc>
        <w:tc>
          <w:tcPr>
            <w:tcW w:w="568"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4</w:t>
            </w:r>
          </w:p>
        </w:tc>
        <w:tc>
          <w:tcPr>
            <w:tcW w:w="553"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551"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630"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549"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项目</w:t>
            </w:r>
          </w:p>
        </w:tc>
        <w:tc>
          <w:tcPr>
            <w:tcW w:w="2832" w:type="dxa"/>
            <w:gridSpan w:val="5"/>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在国家级、省级、校级、多院系大学生文艺汇演优秀奖获得者</w:t>
            </w:r>
          </w:p>
        </w:tc>
        <w:tc>
          <w:tcPr>
            <w:tcW w:w="2981" w:type="dxa"/>
            <w:gridSpan w:val="5"/>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未设立奖项的国家级、省级、校级、多院系、院系文艺汇演主持人</w:t>
            </w:r>
          </w:p>
        </w:tc>
        <w:tc>
          <w:tcPr>
            <w:tcW w:w="2851" w:type="dxa"/>
            <w:gridSpan w:val="5"/>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未设立奖项的国家级、省级、校级、多院系、院系文艺汇演参演者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等级</w:t>
            </w:r>
          </w:p>
        </w:tc>
        <w:tc>
          <w:tcPr>
            <w:tcW w:w="570"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国家级</w:t>
            </w:r>
          </w:p>
        </w:tc>
        <w:tc>
          <w:tcPr>
            <w:tcW w:w="553"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省级</w:t>
            </w:r>
          </w:p>
        </w:tc>
        <w:tc>
          <w:tcPr>
            <w:tcW w:w="553"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校级</w:t>
            </w:r>
          </w:p>
        </w:tc>
        <w:tc>
          <w:tcPr>
            <w:tcW w:w="601"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校区/多院系级</w:t>
            </w:r>
          </w:p>
        </w:tc>
        <w:tc>
          <w:tcPr>
            <w:tcW w:w="555"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院级</w:t>
            </w:r>
          </w:p>
        </w:tc>
        <w:tc>
          <w:tcPr>
            <w:tcW w:w="562"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国家级</w:t>
            </w:r>
          </w:p>
        </w:tc>
        <w:tc>
          <w:tcPr>
            <w:tcW w:w="605"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省级</w:t>
            </w:r>
          </w:p>
        </w:tc>
        <w:tc>
          <w:tcPr>
            <w:tcW w:w="605"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校级</w:t>
            </w:r>
          </w:p>
        </w:tc>
        <w:tc>
          <w:tcPr>
            <w:tcW w:w="662"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校区/多院系级</w:t>
            </w:r>
          </w:p>
        </w:tc>
        <w:tc>
          <w:tcPr>
            <w:tcW w:w="547"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院级</w:t>
            </w:r>
          </w:p>
        </w:tc>
        <w:tc>
          <w:tcPr>
            <w:tcW w:w="568"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国家级</w:t>
            </w:r>
          </w:p>
        </w:tc>
        <w:tc>
          <w:tcPr>
            <w:tcW w:w="553"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省级</w:t>
            </w:r>
          </w:p>
        </w:tc>
        <w:tc>
          <w:tcPr>
            <w:tcW w:w="551"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校级</w:t>
            </w:r>
          </w:p>
        </w:tc>
        <w:tc>
          <w:tcPr>
            <w:tcW w:w="630"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校区/多院系级</w:t>
            </w:r>
          </w:p>
        </w:tc>
        <w:tc>
          <w:tcPr>
            <w:tcW w:w="549"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加分</w:t>
            </w:r>
          </w:p>
        </w:tc>
        <w:tc>
          <w:tcPr>
            <w:tcW w:w="570"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12</w:t>
            </w:r>
          </w:p>
        </w:tc>
        <w:tc>
          <w:tcPr>
            <w:tcW w:w="553"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8</w:t>
            </w:r>
          </w:p>
        </w:tc>
        <w:tc>
          <w:tcPr>
            <w:tcW w:w="553"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601"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555"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1</w:t>
            </w:r>
          </w:p>
        </w:tc>
        <w:tc>
          <w:tcPr>
            <w:tcW w:w="562"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605"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15</w:t>
            </w:r>
          </w:p>
        </w:tc>
        <w:tc>
          <w:tcPr>
            <w:tcW w:w="605"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8</w:t>
            </w:r>
          </w:p>
        </w:tc>
        <w:tc>
          <w:tcPr>
            <w:tcW w:w="662"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w:t>
            </w:r>
          </w:p>
        </w:tc>
        <w:tc>
          <w:tcPr>
            <w:tcW w:w="547"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568"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15</w:t>
            </w:r>
          </w:p>
        </w:tc>
        <w:tc>
          <w:tcPr>
            <w:tcW w:w="553"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w:t>
            </w:r>
          </w:p>
        </w:tc>
        <w:tc>
          <w:tcPr>
            <w:tcW w:w="551"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w:t>
            </w:r>
          </w:p>
        </w:tc>
        <w:tc>
          <w:tcPr>
            <w:tcW w:w="630"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549"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项目</w:t>
            </w:r>
          </w:p>
        </w:tc>
        <w:tc>
          <w:tcPr>
            <w:tcW w:w="5266" w:type="dxa"/>
            <w:gridSpan w:val="9"/>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在各类文艺比赛中获得</w:t>
            </w:r>
            <w:r>
              <w:rPr>
                <w:rFonts w:ascii="宋体" w:hAnsi="宋体" w:cs="Times New Roman"/>
                <w:b/>
                <w:color w:val="auto"/>
                <w:szCs w:val="18"/>
              </w:rPr>
              <w:t>1—3</w:t>
            </w:r>
            <w:r>
              <w:rPr>
                <w:rFonts w:hint="eastAsia" w:ascii="宋体" w:hAnsi="宋体" w:cs="Times New Roman"/>
                <w:b/>
                <w:color w:val="auto"/>
                <w:szCs w:val="18"/>
              </w:rPr>
              <w:t>等奖</w:t>
            </w:r>
          </w:p>
          <w:p>
            <w:pPr>
              <w:jc w:val="center"/>
              <w:rPr>
                <w:rFonts w:ascii="宋体" w:hAnsi="宋体" w:cs="Times New Roman"/>
                <w:b/>
                <w:color w:val="auto"/>
                <w:szCs w:val="18"/>
              </w:rPr>
            </w:pPr>
            <w:r>
              <w:rPr>
                <w:rFonts w:hint="eastAsia" w:ascii="宋体" w:hAnsi="宋体" w:cs="Times New Roman"/>
                <w:b/>
                <w:color w:val="auto"/>
                <w:szCs w:val="18"/>
              </w:rPr>
              <w:t>（除文艺汇演外，如书画、摄影、征文比赛等）</w:t>
            </w:r>
          </w:p>
        </w:tc>
        <w:tc>
          <w:tcPr>
            <w:tcW w:w="3398" w:type="dxa"/>
            <w:gridSpan w:val="6"/>
            <w:shd w:val="clear" w:color="auto" w:fill="auto"/>
            <w:vAlign w:val="center"/>
          </w:tcPr>
          <w:p>
            <w:pPr>
              <w:jc w:val="center"/>
              <w:rPr>
                <w:rFonts w:ascii="宋体" w:hAnsi="宋体" w:cs="Times New Roman"/>
                <w:b/>
                <w:color w:val="auto"/>
                <w:szCs w:val="18"/>
              </w:rPr>
            </w:pPr>
            <w:r>
              <w:rPr>
                <w:rFonts w:hint="eastAsia" w:ascii="宋体" w:hAnsi="宋体" w:cs="Times New Roman"/>
                <w:b/>
                <w:color w:val="auto"/>
                <w:szCs w:val="18"/>
              </w:rPr>
              <w:t>在公开发行的省级以上报刊上发表文艺作品（如摄影、书画等）者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等级</w:t>
            </w:r>
          </w:p>
        </w:tc>
        <w:tc>
          <w:tcPr>
            <w:tcW w:w="570"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国</w:t>
            </w:r>
          </w:p>
          <w:p>
            <w:pPr>
              <w:jc w:val="center"/>
              <w:rPr>
                <w:rFonts w:ascii="宋体" w:hAnsi="宋体" w:cs="Times New Roman"/>
                <w:color w:val="auto"/>
                <w:szCs w:val="18"/>
              </w:rPr>
            </w:pPr>
            <w:r>
              <w:rPr>
                <w:rFonts w:hint="eastAsia" w:ascii="宋体" w:hAnsi="宋体" w:cs="Times New Roman"/>
                <w:color w:val="auto"/>
                <w:szCs w:val="18"/>
              </w:rPr>
              <w:t>一</w:t>
            </w:r>
          </w:p>
          <w:p>
            <w:pPr>
              <w:jc w:val="center"/>
              <w:rPr>
                <w:rFonts w:ascii="宋体" w:hAnsi="宋体" w:cs="Times New Roman"/>
                <w:color w:val="auto"/>
                <w:szCs w:val="18"/>
              </w:rPr>
            </w:pPr>
            <w:r>
              <w:rPr>
                <w:rFonts w:hint="eastAsia" w:ascii="宋体" w:hAnsi="宋体" w:cs="Times New Roman"/>
                <w:color w:val="auto"/>
                <w:szCs w:val="18"/>
              </w:rPr>
              <w:t>等</w:t>
            </w:r>
          </w:p>
        </w:tc>
        <w:tc>
          <w:tcPr>
            <w:tcW w:w="553"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国</w:t>
            </w:r>
          </w:p>
          <w:p>
            <w:pPr>
              <w:jc w:val="center"/>
              <w:rPr>
                <w:rFonts w:ascii="宋体" w:hAnsi="宋体" w:cs="Times New Roman"/>
                <w:color w:val="auto"/>
                <w:szCs w:val="18"/>
              </w:rPr>
            </w:pPr>
            <w:r>
              <w:rPr>
                <w:rFonts w:hint="eastAsia" w:ascii="宋体" w:hAnsi="宋体" w:cs="Times New Roman"/>
                <w:color w:val="auto"/>
                <w:szCs w:val="18"/>
              </w:rPr>
              <w:t>二</w:t>
            </w:r>
          </w:p>
          <w:p>
            <w:pPr>
              <w:jc w:val="center"/>
              <w:rPr>
                <w:rFonts w:ascii="宋体" w:hAnsi="宋体" w:cs="Times New Roman"/>
                <w:color w:val="auto"/>
                <w:szCs w:val="18"/>
              </w:rPr>
            </w:pPr>
            <w:r>
              <w:rPr>
                <w:rFonts w:hint="eastAsia" w:ascii="宋体" w:hAnsi="宋体" w:cs="Times New Roman"/>
                <w:color w:val="auto"/>
                <w:szCs w:val="18"/>
              </w:rPr>
              <w:t>等</w:t>
            </w:r>
          </w:p>
        </w:tc>
        <w:tc>
          <w:tcPr>
            <w:tcW w:w="553"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国</w:t>
            </w:r>
          </w:p>
          <w:p>
            <w:pPr>
              <w:jc w:val="center"/>
              <w:rPr>
                <w:rFonts w:ascii="宋体" w:hAnsi="宋体" w:cs="Times New Roman"/>
                <w:color w:val="auto"/>
                <w:szCs w:val="18"/>
              </w:rPr>
            </w:pPr>
            <w:r>
              <w:rPr>
                <w:rFonts w:hint="eastAsia" w:ascii="宋体" w:hAnsi="宋体" w:cs="Times New Roman"/>
                <w:color w:val="auto"/>
                <w:szCs w:val="18"/>
              </w:rPr>
              <w:t>三</w:t>
            </w:r>
          </w:p>
          <w:p>
            <w:pPr>
              <w:jc w:val="center"/>
              <w:rPr>
                <w:rFonts w:ascii="宋体" w:hAnsi="宋体" w:cs="Times New Roman"/>
                <w:color w:val="auto"/>
                <w:szCs w:val="18"/>
              </w:rPr>
            </w:pPr>
            <w:r>
              <w:rPr>
                <w:rFonts w:hint="eastAsia" w:ascii="宋体" w:hAnsi="宋体" w:cs="Times New Roman"/>
                <w:color w:val="auto"/>
                <w:szCs w:val="18"/>
              </w:rPr>
              <w:t>等</w:t>
            </w:r>
          </w:p>
        </w:tc>
        <w:tc>
          <w:tcPr>
            <w:tcW w:w="601"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省</w:t>
            </w:r>
          </w:p>
          <w:p>
            <w:pPr>
              <w:jc w:val="center"/>
              <w:rPr>
                <w:rFonts w:ascii="宋体" w:hAnsi="宋体" w:cs="Times New Roman"/>
                <w:color w:val="auto"/>
                <w:szCs w:val="18"/>
              </w:rPr>
            </w:pPr>
            <w:r>
              <w:rPr>
                <w:rFonts w:hint="eastAsia" w:ascii="宋体" w:hAnsi="宋体" w:cs="Times New Roman"/>
                <w:color w:val="auto"/>
                <w:szCs w:val="18"/>
              </w:rPr>
              <w:t>一</w:t>
            </w:r>
          </w:p>
          <w:p>
            <w:pPr>
              <w:jc w:val="center"/>
              <w:rPr>
                <w:rFonts w:ascii="宋体" w:hAnsi="宋体" w:cs="Times New Roman"/>
                <w:color w:val="auto"/>
                <w:szCs w:val="18"/>
              </w:rPr>
            </w:pPr>
            <w:r>
              <w:rPr>
                <w:rFonts w:hint="eastAsia" w:ascii="宋体" w:hAnsi="宋体" w:cs="Times New Roman"/>
                <w:color w:val="auto"/>
                <w:szCs w:val="18"/>
              </w:rPr>
              <w:t>等</w:t>
            </w:r>
          </w:p>
        </w:tc>
        <w:tc>
          <w:tcPr>
            <w:tcW w:w="555"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省</w:t>
            </w:r>
          </w:p>
          <w:p>
            <w:pPr>
              <w:jc w:val="center"/>
              <w:rPr>
                <w:rFonts w:ascii="宋体" w:hAnsi="宋体" w:cs="Times New Roman"/>
                <w:color w:val="auto"/>
                <w:szCs w:val="18"/>
              </w:rPr>
            </w:pPr>
            <w:r>
              <w:rPr>
                <w:rFonts w:hint="eastAsia" w:ascii="宋体" w:hAnsi="宋体" w:cs="Times New Roman"/>
                <w:color w:val="auto"/>
                <w:szCs w:val="18"/>
              </w:rPr>
              <w:t>二</w:t>
            </w:r>
          </w:p>
          <w:p>
            <w:pPr>
              <w:jc w:val="center"/>
              <w:rPr>
                <w:rFonts w:ascii="宋体" w:hAnsi="宋体" w:cs="Times New Roman"/>
                <w:color w:val="auto"/>
                <w:szCs w:val="18"/>
              </w:rPr>
            </w:pPr>
            <w:r>
              <w:rPr>
                <w:rFonts w:hint="eastAsia" w:ascii="宋体" w:hAnsi="宋体" w:cs="Times New Roman"/>
                <w:color w:val="auto"/>
                <w:szCs w:val="18"/>
              </w:rPr>
              <w:t>等</w:t>
            </w:r>
          </w:p>
        </w:tc>
        <w:tc>
          <w:tcPr>
            <w:tcW w:w="562"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省</w:t>
            </w:r>
          </w:p>
          <w:p>
            <w:pPr>
              <w:jc w:val="center"/>
              <w:rPr>
                <w:rFonts w:ascii="宋体" w:hAnsi="宋体" w:cs="Times New Roman"/>
                <w:color w:val="auto"/>
                <w:szCs w:val="18"/>
              </w:rPr>
            </w:pPr>
            <w:r>
              <w:rPr>
                <w:rFonts w:hint="eastAsia" w:ascii="宋体" w:hAnsi="宋体" w:cs="Times New Roman"/>
                <w:color w:val="auto"/>
                <w:szCs w:val="18"/>
              </w:rPr>
              <w:t>三</w:t>
            </w:r>
          </w:p>
          <w:p>
            <w:pPr>
              <w:jc w:val="center"/>
              <w:rPr>
                <w:rFonts w:ascii="宋体" w:hAnsi="宋体" w:cs="Times New Roman"/>
                <w:color w:val="auto"/>
                <w:szCs w:val="18"/>
              </w:rPr>
            </w:pPr>
            <w:r>
              <w:rPr>
                <w:rFonts w:hint="eastAsia" w:ascii="宋体" w:hAnsi="宋体" w:cs="Times New Roman"/>
                <w:color w:val="auto"/>
                <w:szCs w:val="18"/>
              </w:rPr>
              <w:t>等</w:t>
            </w:r>
          </w:p>
        </w:tc>
        <w:tc>
          <w:tcPr>
            <w:tcW w:w="605"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市、校</w:t>
            </w:r>
          </w:p>
          <w:p>
            <w:pPr>
              <w:jc w:val="center"/>
              <w:rPr>
                <w:rFonts w:ascii="宋体" w:hAnsi="宋体" w:cs="Times New Roman"/>
                <w:color w:val="auto"/>
                <w:szCs w:val="18"/>
              </w:rPr>
            </w:pPr>
            <w:r>
              <w:rPr>
                <w:rFonts w:hint="eastAsia" w:ascii="宋体" w:hAnsi="宋体" w:cs="Times New Roman"/>
                <w:color w:val="auto"/>
                <w:szCs w:val="18"/>
              </w:rPr>
              <w:t>一</w:t>
            </w:r>
          </w:p>
          <w:p>
            <w:pPr>
              <w:jc w:val="center"/>
              <w:rPr>
                <w:rFonts w:ascii="宋体" w:hAnsi="宋体" w:cs="Times New Roman"/>
                <w:color w:val="auto"/>
                <w:szCs w:val="18"/>
              </w:rPr>
            </w:pPr>
            <w:r>
              <w:rPr>
                <w:rFonts w:hint="eastAsia" w:ascii="宋体" w:hAnsi="宋体" w:cs="Times New Roman"/>
                <w:color w:val="auto"/>
                <w:szCs w:val="18"/>
              </w:rPr>
              <w:t>等</w:t>
            </w:r>
          </w:p>
        </w:tc>
        <w:tc>
          <w:tcPr>
            <w:tcW w:w="605"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市、校</w:t>
            </w:r>
          </w:p>
          <w:p>
            <w:pPr>
              <w:jc w:val="center"/>
              <w:rPr>
                <w:rFonts w:ascii="宋体" w:hAnsi="宋体" w:cs="Times New Roman"/>
                <w:color w:val="auto"/>
                <w:szCs w:val="18"/>
              </w:rPr>
            </w:pPr>
            <w:r>
              <w:rPr>
                <w:rFonts w:hint="eastAsia" w:ascii="宋体" w:hAnsi="宋体" w:cs="Times New Roman"/>
                <w:color w:val="auto"/>
                <w:szCs w:val="18"/>
              </w:rPr>
              <w:t>二</w:t>
            </w:r>
          </w:p>
          <w:p>
            <w:pPr>
              <w:jc w:val="center"/>
              <w:rPr>
                <w:rFonts w:ascii="宋体" w:hAnsi="宋体" w:cs="Times New Roman"/>
                <w:color w:val="auto"/>
                <w:szCs w:val="18"/>
              </w:rPr>
            </w:pPr>
            <w:r>
              <w:rPr>
                <w:rFonts w:hint="eastAsia" w:ascii="宋体" w:hAnsi="宋体" w:cs="Times New Roman"/>
                <w:color w:val="auto"/>
                <w:szCs w:val="18"/>
              </w:rPr>
              <w:t>等</w:t>
            </w:r>
          </w:p>
        </w:tc>
        <w:tc>
          <w:tcPr>
            <w:tcW w:w="662" w:type="dxa"/>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市、校</w:t>
            </w:r>
          </w:p>
          <w:p>
            <w:pPr>
              <w:jc w:val="center"/>
              <w:rPr>
                <w:rFonts w:ascii="宋体" w:hAnsi="宋体" w:cs="Times New Roman"/>
                <w:color w:val="auto"/>
                <w:szCs w:val="18"/>
              </w:rPr>
            </w:pPr>
            <w:r>
              <w:rPr>
                <w:rFonts w:hint="eastAsia" w:ascii="宋体" w:hAnsi="宋体" w:cs="Times New Roman"/>
                <w:color w:val="auto"/>
                <w:szCs w:val="18"/>
              </w:rPr>
              <w:t>三</w:t>
            </w:r>
          </w:p>
          <w:p>
            <w:pPr>
              <w:jc w:val="center"/>
              <w:rPr>
                <w:rFonts w:ascii="宋体" w:hAnsi="宋体" w:cs="Times New Roman"/>
                <w:color w:val="auto"/>
                <w:szCs w:val="18"/>
              </w:rPr>
            </w:pPr>
            <w:r>
              <w:rPr>
                <w:rFonts w:hint="eastAsia" w:ascii="宋体" w:hAnsi="宋体" w:cs="Times New Roman"/>
                <w:color w:val="auto"/>
                <w:szCs w:val="18"/>
              </w:rPr>
              <w:t>等</w:t>
            </w:r>
          </w:p>
        </w:tc>
        <w:tc>
          <w:tcPr>
            <w:tcW w:w="3398" w:type="dxa"/>
            <w:gridSpan w:val="6"/>
            <w:shd w:val="clear" w:color="auto" w:fill="auto"/>
            <w:vAlign w:val="center"/>
          </w:tcPr>
          <w:p>
            <w:pPr>
              <w:jc w:val="center"/>
              <w:rPr>
                <w:rFonts w:ascii="宋体" w:hAnsi="宋体" w:cs="Times New Roman"/>
                <w:color w:val="auto"/>
                <w:szCs w:val="18"/>
              </w:rPr>
            </w:pPr>
            <w:r>
              <w:rPr>
                <w:rFonts w:hint="eastAsia" w:ascii="宋体" w:hAnsi="宋体" w:cs="Times New Roman"/>
                <w:color w:val="auto"/>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加分</w:t>
            </w:r>
          </w:p>
        </w:tc>
        <w:tc>
          <w:tcPr>
            <w:tcW w:w="570"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553"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18</w:t>
            </w:r>
          </w:p>
        </w:tc>
        <w:tc>
          <w:tcPr>
            <w:tcW w:w="553"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15</w:t>
            </w:r>
          </w:p>
        </w:tc>
        <w:tc>
          <w:tcPr>
            <w:tcW w:w="601"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12</w:t>
            </w:r>
          </w:p>
        </w:tc>
        <w:tc>
          <w:tcPr>
            <w:tcW w:w="555" w:type="dxa"/>
            <w:shd w:val="clear" w:color="auto" w:fill="auto"/>
            <w:vAlign w:val="center"/>
          </w:tcPr>
          <w:p>
            <w:pPr>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w:t>
            </w:r>
          </w:p>
        </w:tc>
        <w:tc>
          <w:tcPr>
            <w:tcW w:w="562"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8</w:t>
            </w:r>
          </w:p>
        </w:tc>
        <w:tc>
          <w:tcPr>
            <w:tcW w:w="605"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w:t>
            </w:r>
          </w:p>
        </w:tc>
        <w:tc>
          <w:tcPr>
            <w:tcW w:w="605"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662" w:type="dxa"/>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1</w:t>
            </w:r>
          </w:p>
        </w:tc>
        <w:tc>
          <w:tcPr>
            <w:tcW w:w="3398" w:type="dxa"/>
            <w:gridSpan w:val="6"/>
            <w:shd w:val="clear" w:color="auto" w:fill="auto"/>
            <w:vAlign w:val="center"/>
          </w:tcPr>
          <w:p>
            <w:pPr>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4" w:type="dxa"/>
            <w:gridSpan w:val="2"/>
            <w:vAlign w:val="center"/>
          </w:tcPr>
          <w:p>
            <w:pPr>
              <w:tabs>
                <w:tab w:val="left" w:pos="512"/>
                <w:tab w:val="left" w:pos="6660"/>
              </w:tabs>
              <w:ind w:left="72"/>
              <w:rPr>
                <w:rFonts w:ascii="宋体" w:hAnsi="宋体" w:cs="Times New Roman"/>
                <w:bCs/>
                <w:color w:val="auto"/>
                <w:szCs w:val="18"/>
              </w:rPr>
            </w:pPr>
            <w:r>
              <w:rPr>
                <w:rFonts w:hint="eastAsia" w:ascii="宋体" w:hAnsi="宋体" w:cs="Times New Roman"/>
                <w:bCs/>
                <w:color w:val="auto"/>
                <w:szCs w:val="18"/>
              </w:rPr>
              <w:t>说 明</w:t>
            </w:r>
          </w:p>
        </w:tc>
        <w:tc>
          <w:tcPr>
            <w:tcW w:w="8664" w:type="dxa"/>
            <w:gridSpan w:val="15"/>
            <w:vAlign w:val="center"/>
          </w:tcPr>
          <w:p>
            <w:pPr>
              <w:spacing w:line="240" w:lineRule="auto"/>
              <w:jc w:val="left"/>
              <w:rPr>
                <w:rFonts w:ascii="宋体" w:hAnsi="宋体" w:cs="Times New Roman"/>
                <w:color w:val="auto"/>
                <w:szCs w:val="18"/>
              </w:rPr>
            </w:pPr>
            <w:r>
              <w:rPr>
                <w:rFonts w:ascii="宋体" w:hAnsi="宋体" w:cs="Times New Roman"/>
                <w:color w:val="auto"/>
                <w:szCs w:val="18"/>
              </w:rPr>
              <w:t>1</w:t>
            </w:r>
            <w:r>
              <w:rPr>
                <w:rFonts w:hint="eastAsia" w:ascii="宋体" w:hAnsi="宋体" w:cs="Times New Roman"/>
                <w:color w:val="auto"/>
                <w:szCs w:val="18"/>
              </w:rPr>
              <w:t>、请对所获奖励情况出示证明。</w:t>
            </w:r>
          </w:p>
          <w:p>
            <w:pPr>
              <w:spacing w:line="240" w:lineRule="auto"/>
              <w:jc w:val="left"/>
              <w:rPr>
                <w:rFonts w:ascii="宋体" w:hAnsi="宋体" w:cs="Times New Roman"/>
                <w:color w:val="auto"/>
                <w:szCs w:val="18"/>
              </w:rPr>
            </w:pPr>
            <w:r>
              <w:rPr>
                <w:rFonts w:ascii="宋体" w:hAnsi="宋体" w:cs="Times New Roman"/>
                <w:color w:val="auto"/>
                <w:szCs w:val="18"/>
              </w:rPr>
              <w:t>2</w:t>
            </w:r>
            <w:r>
              <w:rPr>
                <w:rFonts w:hint="eastAsia" w:ascii="宋体" w:hAnsi="宋体" w:cs="Times New Roman"/>
                <w:color w:val="auto"/>
                <w:szCs w:val="18"/>
              </w:rPr>
              <w:t>、同类文艺项目加分不累加，只加最高项；</w:t>
            </w:r>
          </w:p>
          <w:p>
            <w:pPr>
              <w:spacing w:line="240" w:lineRule="auto"/>
              <w:jc w:val="left"/>
              <w:rPr>
                <w:rFonts w:ascii="宋体" w:hAnsi="宋体" w:cs="Times New Roman"/>
                <w:color w:val="auto"/>
                <w:szCs w:val="18"/>
              </w:rPr>
            </w:pPr>
            <w:r>
              <w:rPr>
                <w:rFonts w:ascii="宋体" w:hAnsi="宋体" w:cs="Times New Roman"/>
                <w:color w:val="auto"/>
                <w:szCs w:val="18"/>
              </w:rPr>
              <w:t>3</w:t>
            </w:r>
            <w:r>
              <w:rPr>
                <w:rFonts w:hint="eastAsia" w:ascii="宋体" w:hAnsi="宋体" w:cs="Times New Roman"/>
                <w:color w:val="auto"/>
                <w:szCs w:val="18"/>
              </w:rPr>
              <w:t>、不同类文艺活动加分不超过两项，文艺体育加分总共不可累加超过三项。</w:t>
            </w:r>
          </w:p>
          <w:p>
            <w:pPr>
              <w:spacing w:line="240" w:lineRule="auto"/>
              <w:jc w:val="left"/>
              <w:rPr>
                <w:rFonts w:ascii="宋体" w:hAnsi="宋体" w:cs="Times New Roman"/>
                <w:color w:val="auto"/>
                <w:szCs w:val="18"/>
              </w:rPr>
            </w:pPr>
            <w:r>
              <w:rPr>
                <w:rFonts w:hint="eastAsia" w:ascii="宋体" w:hAnsi="宋体" w:cs="Times New Roman"/>
                <w:color w:val="auto"/>
                <w:szCs w:val="18"/>
              </w:rPr>
              <w:t>4、文艺汇演中主要演员包括领舞、领唱、男女主角、话剧剧本的第一作者，校级以上获奖节目中担任主要演员，且为第一作者，可多加</w:t>
            </w:r>
            <w:r>
              <w:rPr>
                <w:rFonts w:ascii="宋体" w:hAnsi="宋体" w:cs="Times New Roman"/>
                <w:color w:val="auto"/>
                <w:szCs w:val="18"/>
              </w:rPr>
              <w:t>0.</w:t>
            </w:r>
            <w:r>
              <w:rPr>
                <w:rFonts w:hint="eastAsia" w:ascii="宋体" w:hAnsi="宋体" w:cs="Times New Roman"/>
                <w:color w:val="auto"/>
                <w:szCs w:val="18"/>
              </w:rPr>
              <w:t>0</w:t>
            </w:r>
            <w:r>
              <w:rPr>
                <w:rFonts w:ascii="宋体" w:hAnsi="宋体" w:cs="Times New Roman"/>
                <w:color w:val="auto"/>
                <w:szCs w:val="18"/>
              </w:rPr>
              <w:t>5</w:t>
            </w:r>
            <w:r>
              <w:rPr>
                <w:rFonts w:hint="eastAsia" w:ascii="宋体" w:hAnsi="宋体" w:cs="Times New Roman"/>
                <w:color w:val="auto"/>
                <w:szCs w:val="18"/>
              </w:rPr>
              <w:t>分。</w:t>
            </w:r>
          </w:p>
          <w:p>
            <w:pPr>
              <w:spacing w:line="240" w:lineRule="auto"/>
              <w:jc w:val="left"/>
              <w:rPr>
                <w:rFonts w:ascii="宋体" w:hAnsi="宋体" w:cs="Times New Roman"/>
                <w:color w:val="auto"/>
                <w:szCs w:val="18"/>
              </w:rPr>
            </w:pPr>
            <w:r>
              <w:rPr>
                <w:rFonts w:hint="eastAsia" w:ascii="宋体" w:hAnsi="宋体" w:cs="Times New Roman"/>
                <w:bCs/>
                <w:color w:val="auto"/>
                <w:szCs w:val="18"/>
              </w:rPr>
              <w:t>5、</w:t>
            </w:r>
            <w:r>
              <w:rPr>
                <w:rFonts w:hint="eastAsia" w:ascii="宋体" w:hAnsi="宋体" w:cs="Times New Roman"/>
                <w:color w:val="auto"/>
                <w:szCs w:val="18"/>
              </w:rPr>
              <w:t>在校内社团及协会举行的全校性文艺比赛中获奖属多院系级别加分，优胜奖获得者不加分；校外社团及协会等机构举办的活动须经学院奖学金评定小组审核。</w:t>
            </w:r>
          </w:p>
          <w:p>
            <w:pPr>
              <w:spacing w:line="240" w:lineRule="auto"/>
              <w:jc w:val="left"/>
              <w:rPr>
                <w:rFonts w:ascii="宋体" w:hAnsi="宋体" w:cs="Times New Roman"/>
                <w:color w:val="auto"/>
                <w:szCs w:val="18"/>
              </w:rPr>
            </w:pPr>
            <w:r>
              <w:rPr>
                <w:rFonts w:hint="eastAsia" w:ascii="宋体" w:hAnsi="宋体" w:cs="Times New Roman"/>
                <w:color w:val="auto"/>
                <w:szCs w:val="18"/>
              </w:rPr>
              <w:t>6、文章配图不纳入在公开发行的省级以上报刊上发表文艺作品加分。</w:t>
            </w:r>
          </w:p>
          <w:p>
            <w:pPr>
              <w:spacing w:line="240" w:lineRule="auto"/>
              <w:jc w:val="left"/>
              <w:rPr>
                <w:rFonts w:ascii="宋体" w:hAnsi="宋体" w:cs="Times New Roman"/>
                <w:bCs/>
                <w:color w:val="auto"/>
                <w:szCs w:val="18"/>
              </w:rPr>
            </w:pPr>
            <w:r>
              <w:rPr>
                <w:rFonts w:hint="eastAsia" w:ascii="宋体" w:hAnsi="宋体" w:cs="Times New Roman"/>
                <w:color w:val="auto"/>
                <w:szCs w:val="18"/>
              </w:rPr>
              <w:t>7、</w:t>
            </w:r>
            <w:r>
              <w:rPr>
                <w:rFonts w:hint="eastAsia" w:ascii="宋体" w:hAnsi="宋体" w:cs="Times New Roman"/>
                <w:bCs/>
                <w:color w:val="auto"/>
                <w:szCs w:val="18"/>
              </w:rPr>
              <w:t>文艺汇演指由校、院等单位举办的艺术节、歌唱比赛等演出。获得单项奖励，如最佳、最受欢迎类奖励，以比赛级别的三等奖的50%计分，如果同时获得等级和单项奖励，则以最高分值项计分，不累加。</w:t>
            </w:r>
          </w:p>
        </w:tc>
      </w:tr>
    </w:tbl>
    <w:p>
      <w:pPr>
        <w:rPr>
          <w:color w:val="auto"/>
        </w:rPr>
      </w:pPr>
      <w:r>
        <w:rPr>
          <w:color w:val="auto"/>
        </w:rPr>
        <w:br w:type="page"/>
      </w:r>
    </w:p>
    <w:p>
      <w:pPr>
        <w:pStyle w:val="4"/>
        <w:spacing w:line="360" w:lineRule="auto"/>
        <w:rPr>
          <w:color w:val="auto"/>
        </w:rPr>
      </w:pPr>
      <w:r>
        <w:rPr>
          <w:rFonts w:hint="eastAsia"/>
          <w:color w:val="auto"/>
        </w:rPr>
        <w:t>2.体育类</w:t>
      </w:r>
    </w:p>
    <w:p>
      <w:pPr>
        <w:pStyle w:val="5"/>
        <w:spacing w:line="360" w:lineRule="auto"/>
        <w:rPr>
          <w:color w:val="auto"/>
        </w:rPr>
      </w:pPr>
      <w:r>
        <w:rPr>
          <w:rFonts w:hint="eastAsia"/>
          <w:color w:val="auto"/>
        </w:rPr>
        <w:t>（1）体质健康测试（必达）</w:t>
      </w:r>
    </w:p>
    <w:p>
      <w:pPr>
        <w:spacing w:line="360" w:lineRule="auto"/>
        <w:ind w:firstLine="420" w:firstLineChars="200"/>
        <w:rPr>
          <w:color w:val="auto"/>
        </w:rPr>
      </w:pPr>
      <w:r>
        <w:rPr>
          <w:rFonts w:hint="eastAsia"/>
          <w:color w:val="auto"/>
        </w:rPr>
        <w:t>参加本学年度奖学金评选者，应积极锻炼身体，身心健康，学生体质健康测试合格（因病、残疾等丧失运动能力的，且经体育部核准免测申请者除外）。</w:t>
      </w:r>
    </w:p>
    <w:p>
      <w:pPr>
        <w:pStyle w:val="5"/>
        <w:spacing w:line="360" w:lineRule="auto"/>
        <w:rPr>
          <w:color w:val="auto"/>
        </w:rPr>
      </w:pPr>
      <w:r>
        <w:rPr>
          <w:rFonts w:hint="eastAsia"/>
          <w:color w:val="auto"/>
        </w:rPr>
        <w:t>（2）体育竞赛（选达）</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11"/>
        <w:gridCol w:w="1111"/>
        <w:gridCol w:w="1111"/>
        <w:gridCol w:w="861"/>
        <w:gridCol w:w="250"/>
        <w:gridCol w:w="1111"/>
        <w:gridCol w:w="1111"/>
        <w:gridCol w:w="111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名 次</w:t>
            </w:r>
          </w:p>
        </w:tc>
        <w:tc>
          <w:tcPr>
            <w:tcW w:w="1111" w:type="dxa"/>
            <w:vAlign w:val="center"/>
          </w:tcPr>
          <w:p>
            <w:pPr>
              <w:spacing w:line="360" w:lineRule="auto"/>
              <w:jc w:val="center"/>
              <w:rPr>
                <w:rFonts w:ascii="Times New Roman" w:hAnsi="Times New Roman" w:cs="Times New Roman"/>
                <w:b/>
                <w:color w:val="auto"/>
                <w:szCs w:val="18"/>
              </w:rPr>
            </w:pPr>
            <w:r>
              <w:rPr>
                <w:rFonts w:ascii="Times New Roman" w:hAnsi="Times New Roman" w:cs="Times New Roman"/>
                <w:b/>
                <w:color w:val="auto"/>
                <w:szCs w:val="18"/>
              </w:rPr>
              <w:t>一</w:t>
            </w:r>
          </w:p>
        </w:tc>
        <w:tc>
          <w:tcPr>
            <w:tcW w:w="1111" w:type="dxa"/>
            <w:vAlign w:val="center"/>
          </w:tcPr>
          <w:p>
            <w:pPr>
              <w:spacing w:line="360" w:lineRule="auto"/>
              <w:jc w:val="center"/>
              <w:rPr>
                <w:rFonts w:ascii="Times New Roman" w:hAnsi="Times New Roman" w:cs="Times New Roman"/>
                <w:b/>
                <w:color w:val="auto"/>
                <w:szCs w:val="18"/>
              </w:rPr>
            </w:pPr>
            <w:r>
              <w:rPr>
                <w:rFonts w:ascii="Times New Roman" w:hAnsi="Times New Roman" w:cs="Times New Roman"/>
                <w:b/>
                <w:color w:val="auto"/>
                <w:szCs w:val="18"/>
              </w:rPr>
              <w:t>二</w:t>
            </w:r>
          </w:p>
        </w:tc>
        <w:tc>
          <w:tcPr>
            <w:tcW w:w="1111" w:type="dxa"/>
            <w:vAlign w:val="center"/>
          </w:tcPr>
          <w:p>
            <w:pPr>
              <w:spacing w:line="360" w:lineRule="auto"/>
              <w:jc w:val="center"/>
              <w:rPr>
                <w:rFonts w:ascii="Times New Roman" w:hAnsi="Times New Roman" w:cs="Times New Roman"/>
                <w:b/>
                <w:color w:val="auto"/>
                <w:szCs w:val="18"/>
              </w:rPr>
            </w:pPr>
            <w:r>
              <w:rPr>
                <w:rFonts w:ascii="Times New Roman" w:hAnsi="Times New Roman" w:cs="Times New Roman"/>
                <w:b/>
                <w:color w:val="auto"/>
                <w:szCs w:val="18"/>
              </w:rPr>
              <w:t>三</w:t>
            </w:r>
          </w:p>
        </w:tc>
        <w:tc>
          <w:tcPr>
            <w:tcW w:w="1111" w:type="dxa"/>
            <w:gridSpan w:val="2"/>
            <w:vAlign w:val="center"/>
          </w:tcPr>
          <w:p>
            <w:pPr>
              <w:spacing w:line="360" w:lineRule="auto"/>
              <w:jc w:val="center"/>
              <w:rPr>
                <w:rFonts w:ascii="Times New Roman" w:hAnsi="Times New Roman" w:cs="Times New Roman"/>
                <w:b/>
                <w:color w:val="auto"/>
                <w:szCs w:val="18"/>
              </w:rPr>
            </w:pPr>
            <w:r>
              <w:rPr>
                <w:rFonts w:ascii="Times New Roman" w:hAnsi="Times New Roman" w:cs="Times New Roman"/>
                <w:b/>
                <w:color w:val="auto"/>
                <w:szCs w:val="18"/>
              </w:rPr>
              <w:t>四</w:t>
            </w:r>
          </w:p>
        </w:tc>
        <w:tc>
          <w:tcPr>
            <w:tcW w:w="1111" w:type="dxa"/>
            <w:vAlign w:val="center"/>
          </w:tcPr>
          <w:p>
            <w:pPr>
              <w:spacing w:line="360" w:lineRule="auto"/>
              <w:jc w:val="center"/>
              <w:rPr>
                <w:rFonts w:ascii="Times New Roman" w:hAnsi="Times New Roman" w:cs="Times New Roman"/>
                <w:b/>
                <w:color w:val="auto"/>
                <w:szCs w:val="18"/>
              </w:rPr>
            </w:pPr>
            <w:r>
              <w:rPr>
                <w:rFonts w:ascii="Times New Roman" w:hAnsi="Times New Roman" w:cs="Times New Roman"/>
                <w:b/>
                <w:color w:val="auto"/>
                <w:szCs w:val="18"/>
              </w:rPr>
              <w:t>五</w:t>
            </w:r>
          </w:p>
        </w:tc>
        <w:tc>
          <w:tcPr>
            <w:tcW w:w="1111" w:type="dxa"/>
            <w:vAlign w:val="center"/>
          </w:tcPr>
          <w:p>
            <w:pPr>
              <w:spacing w:line="360" w:lineRule="auto"/>
              <w:jc w:val="center"/>
              <w:rPr>
                <w:rFonts w:ascii="Times New Roman" w:hAnsi="Times New Roman" w:cs="Times New Roman"/>
                <w:b/>
                <w:color w:val="auto"/>
                <w:szCs w:val="18"/>
              </w:rPr>
            </w:pPr>
            <w:r>
              <w:rPr>
                <w:rFonts w:ascii="Times New Roman" w:hAnsi="Times New Roman" w:cs="Times New Roman"/>
                <w:b/>
                <w:color w:val="auto"/>
                <w:szCs w:val="18"/>
              </w:rPr>
              <w:t>六</w:t>
            </w:r>
          </w:p>
        </w:tc>
        <w:tc>
          <w:tcPr>
            <w:tcW w:w="1111" w:type="dxa"/>
            <w:vAlign w:val="center"/>
          </w:tcPr>
          <w:p>
            <w:pPr>
              <w:spacing w:line="360" w:lineRule="auto"/>
              <w:jc w:val="center"/>
              <w:rPr>
                <w:rFonts w:ascii="Times New Roman" w:hAnsi="Times New Roman" w:cs="Times New Roman"/>
                <w:b/>
                <w:color w:val="auto"/>
                <w:szCs w:val="18"/>
              </w:rPr>
            </w:pPr>
            <w:r>
              <w:rPr>
                <w:rFonts w:ascii="Times New Roman" w:hAnsi="Times New Roman" w:cs="Times New Roman"/>
                <w:b/>
                <w:color w:val="auto"/>
                <w:szCs w:val="18"/>
              </w:rPr>
              <w:t>七</w:t>
            </w:r>
          </w:p>
        </w:tc>
        <w:tc>
          <w:tcPr>
            <w:tcW w:w="1069" w:type="dxa"/>
            <w:vAlign w:val="center"/>
          </w:tcPr>
          <w:p>
            <w:pPr>
              <w:spacing w:line="360" w:lineRule="auto"/>
              <w:jc w:val="center"/>
              <w:rPr>
                <w:rFonts w:ascii="Times New Roman" w:hAnsi="Times New Roman" w:cs="Times New Roman"/>
                <w:b/>
                <w:color w:val="auto"/>
                <w:szCs w:val="18"/>
              </w:rPr>
            </w:pPr>
            <w:r>
              <w:rPr>
                <w:rFonts w:ascii="Times New Roman" w:hAnsi="Times New Roman" w:cs="Times New Roman"/>
                <w:b/>
                <w:color w:val="auto"/>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国家级</w:t>
            </w:r>
          </w:p>
        </w:tc>
        <w:tc>
          <w:tcPr>
            <w:tcW w:w="1111" w:type="dxa"/>
            <w:shd w:val="clear" w:color="auto" w:fill="auto"/>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25</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1111" w:type="dxa"/>
            <w:gridSpan w:val="2"/>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19</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18</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17</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16</w:t>
            </w:r>
          </w:p>
        </w:tc>
        <w:tc>
          <w:tcPr>
            <w:tcW w:w="1069"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省级</w:t>
            </w:r>
          </w:p>
        </w:tc>
        <w:tc>
          <w:tcPr>
            <w:tcW w:w="1111" w:type="dxa"/>
            <w:shd w:val="clear" w:color="auto" w:fill="auto"/>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19</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17</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15</w:t>
            </w:r>
          </w:p>
        </w:tc>
        <w:tc>
          <w:tcPr>
            <w:tcW w:w="1111" w:type="dxa"/>
            <w:gridSpan w:val="2"/>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14</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13</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12</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11</w:t>
            </w:r>
          </w:p>
        </w:tc>
        <w:tc>
          <w:tcPr>
            <w:tcW w:w="1069"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校 级</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12</w:t>
            </w:r>
          </w:p>
        </w:tc>
        <w:tc>
          <w:tcPr>
            <w:tcW w:w="1111" w:type="dxa"/>
            <w:vAlign w:val="center"/>
          </w:tcPr>
          <w:p>
            <w:pPr>
              <w:spacing w:line="360" w:lineRule="auto"/>
              <w:jc w:val="center"/>
              <w:rPr>
                <w:rFonts w:ascii="Times New Roman" w:hAnsi="Times New Roman" w:cs="Times New Roman"/>
                <w:color w:val="auto"/>
                <w:szCs w:val="18"/>
              </w:rPr>
            </w:pPr>
            <w:r>
              <w:rPr>
                <w:rFonts w:hint="eastAsia" w:ascii="Times New Roman" w:hAnsi="Times New Roman" w:cs="Times New Roman"/>
                <w:color w:val="auto"/>
                <w:szCs w:val="18"/>
              </w:rPr>
              <w:t>0.</w:t>
            </w:r>
            <w:r>
              <w:rPr>
                <w:rFonts w:ascii="Times New Roman" w:hAnsi="Times New Roman" w:cs="Times New Roman"/>
                <w:color w:val="auto"/>
                <w:szCs w:val="18"/>
              </w:rPr>
              <w:t>1</w:t>
            </w:r>
          </w:p>
        </w:tc>
        <w:tc>
          <w:tcPr>
            <w:tcW w:w="1111" w:type="dxa"/>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8</w:t>
            </w:r>
          </w:p>
        </w:tc>
        <w:tc>
          <w:tcPr>
            <w:tcW w:w="1111" w:type="dxa"/>
            <w:gridSpan w:val="2"/>
            <w:tcBorders>
              <w:bottom w:val="single" w:color="auto" w:sz="4" w:space="0"/>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7</w:t>
            </w:r>
          </w:p>
        </w:tc>
        <w:tc>
          <w:tcPr>
            <w:tcW w:w="1111" w:type="dxa"/>
            <w:tcBorders>
              <w:bottom w:val="single" w:color="auto" w:sz="4" w:space="0"/>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65</w:t>
            </w:r>
          </w:p>
        </w:tc>
        <w:tc>
          <w:tcPr>
            <w:tcW w:w="1111" w:type="dxa"/>
            <w:tcBorders>
              <w:bottom w:val="single" w:color="auto" w:sz="4" w:space="0"/>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6</w:t>
            </w:r>
          </w:p>
        </w:tc>
        <w:tc>
          <w:tcPr>
            <w:tcW w:w="1111" w:type="dxa"/>
            <w:tcBorders>
              <w:bottom w:val="single" w:color="auto" w:sz="4" w:space="0"/>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55</w:t>
            </w:r>
          </w:p>
        </w:tc>
        <w:tc>
          <w:tcPr>
            <w:tcW w:w="1069" w:type="dxa"/>
            <w:tcBorders>
              <w:bottom w:val="single" w:color="auto" w:sz="4" w:space="0"/>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多院系</w:t>
            </w:r>
          </w:p>
        </w:tc>
        <w:tc>
          <w:tcPr>
            <w:tcW w:w="1111" w:type="dxa"/>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6</w:t>
            </w:r>
          </w:p>
        </w:tc>
        <w:tc>
          <w:tcPr>
            <w:tcW w:w="1111" w:type="dxa"/>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5</w:t>
            </w:r>
          </w:p>
        </w:tc>
        <w:tc>
          <w:tcPr>
            <w:tcW w:w="1111" w:type="dxa"/>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4</w:t>
            </w:r>
          </w:p>
        </w:tc>
        <w:tc>
          <w:tcPr>
            <w:tcW w:w="1111" w:type="dxa"/>
            <w:gridSpan w:val="2"/>
            <w:tcBorders>
              <w:bottom w:val="single" w:color="auto" w:sz="4" w:space="0"/>
              <w:tr2bl w:val="nil"/>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1111" w:type="dxa"/>
            <w:tcBorders>
              <w:bottom w:val="single" w:color="auto" w:sz="4" w:space="0"/>
              <w:tr2bl w:val="nil"/>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25</w:t>
            </w:r>
          </w:p>
        </w:tc>
        <w:tc>
          <w:tcPr>
            <w:tcW w:w="1111" w:type="dxa"/>
            <w:tcBorders>
              <w:bottom w:val="single" w:color="auto" w:sz="4" w:space="0"/>
              <w:tr2bl w:val="nil"/>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1111" w:type="dxa"/>
            <w:tcBorders>
              <w:bottom w:val="single" w:color="auto" w:sz="4" w:space="0"/>
              <w:tr2bl w:val="nil"/>
            </w:tcBorders>
            <w:vAlign w:val="center"/>
          </w:tcPr>
          <w:p>
            <w:pPr>
              <w:spacing w:line="360" w:lineRule="auto"/>
              <w:ind w:firstLine="210" w:firstLineChars="100"/>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15</w:t>
            </w:r>
          </w:p>
        </w:tc>
        <w:tc>
          <w:tcPr>
            <w:tcW w:w="1069" w:type="dxa"/>
            <w:tcBorders>
              <w:bottom w:val="single" w:color="auto" w:sz="4" w:space="0"/>
              <w:tr2bl w:val="nil"/>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院 级</w:t>
            </w:r>
          </w:p>
        </w:tc>
        <w:tc>
          <w:tcPr>
            <w:tcW w:w="1111" w:type="dxa"/>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c>
          <w:tcPr>
            <w:tcW w:w="1111" w:type="dxa"/>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2</w:t>
            </w:r>
          </w:p>
        </w:tc>
        <w:tc>
          <w:tcPr>
            <w:tcW w:w="1111" w:type="dxa"/>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1</w:t>
            </w:r>
          </w:p>
        </w:tc>
        <w:tc>
          <w:tcPr>
            <w:tcW w:w="1111" w:type="dxa"/>
            <w:gridSpan w:val="2"/>
            <w:tcBorders>
              <w:tr2bl w:val="nil"/>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w:t>
            </w:r>
          </w:p>
        </w:tc>
        <w:tc>
          <w:tcPr>
            <w:tcW w:w="1111" w:type="dxa"/>
            <w:tcBorders>
              <w:tr2bl w:val="nil"/>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w:t>
            </w:r>
          </w:p>
        </w:tc>
        <w:tc>
          <w:tcPr>
            <w:tcW w:w="1111" w:type="dxa"/>
            <w:tcBorders>
              <w:tr2bl w:val="nil"/>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w:t>
            </w:r>
          </w:p>
        </w:tc>
        <w:tc>
          <w:tcPr>
            <w:tcW w:w="1111" w:type="dxa"/>
            <w:tcBorders>
              <w:tr2bl w:val="nil"/>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w:t>
            </w:r>
          </w:p>
        </w:tc>
        <w:tc>
          <w:tcPr>
            <w:tcW w:w="1069" w:type="dxa"/>
            <w:tcBorders>
              <w:tr2bl w:val="nil"/>
            </w:tcBorders>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项目</w:t>
            </w:r>
          </w:p>
        </w:tc>
        <w:tc>
          <w:tcPr>
            <w:tcW w:w="4194" w:type="dxa"/>
            <w:gridSpan w:val="4"/>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参加校运动会未取得名次者</w:t>
            </w:r>
          </w:p>
        </w:tc>
        <w:tc>
          <w:tcPr>
            <w:tcW w:w="4652" w:type="dxa"/>
            <w:gridSpan w:val="5"/>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参加马拉松比赛并跑完全程者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等级</w:t>
            </w:r>
          </w:p>
        </w:tc>
        <w:tc>
          <w:tcPr>
            <w:tcW w:w="4194" w:type="dxa"/>
            <w:gridSpan w:val="4"/>
            <w:vAlign w:val="center"/>
          </w:tcPr>
          <w:p>
            <w:pPr>
              <w:spacing w:line="360" w:lineRule="auto"/>
              <w:jc w:val="center"/>
              <w:rPr>
                <w:rFonts w:ascii="宋体" w:hAnsi="宋体" w:cs="Times New Roman"/>
                <w:color w:val="auto"/>
                <w:szCs w:val="18"/>
              </w:rPr>
            </w:pPr>
            <w:r>
              <w:rPr>
                <w:rFonts w:hint="eastAsia" w:ascii="宋体" w:hAnsi="宋体" w:cs="Times New Roman"/>
                <w:color w:val="auto"/>
                <w:szCs w:val="18"/>
              </w:rPr>
              <w:t>校级</w:t>
            </w:r>
          </w:p>
        </w:tc>
        <w:tc>
          <w:tcPr>
            <w:tcW w:w="4652" w:type="dxa"/>
            <w:gridSpan w:val="5"/>
            <w:vAlign w:val="center"/>
          </w:tcPr>
          <w:p>
            <w:pPr>
              <w:spacing w:line="360" w:lineRule="auto"/>
              <w:jc w:val="center"/>
              <w:rPr>
                <w:rFonts w:ascii="宋体" w:hAnsi="宋体" w:cs="Times New Roman"/>
                <w:color w:val="auto"/>
                <w:szCs w:val="18"/>
              </w:rPr>
            </w:pPr>
            <w:r>
              <w:rPr>
                <w:rFonts w:hint="eastAsia" w:ascii="宋体" w:hAnsi="宋体" w:cs="Times New Roman"/>
                <w:color w:val="auto"/>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加分</w:t>
            </w:r>
          </w:p>
        </w:tc>
        <w:tc>
          <w:tcPr>
            <w:tcW w:w="4194" w:type="dxa"/>
            <w:gridSpan w:val="4"/>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1</w:t>
            </w:r>
          </w:p>
        </w:tc>
        <w:tc>
          <w:tcPr>
            <w:tcW w:w="4652" w:type="dxa"/>
            <w:gridSpan w:val="5"/>
            <w:vAlign w:val="center"/>
          </w:tcPr>
          <w:p>
            <w:pPr>
              <w:spacing w:line="360" w:lineRule="auto"/>
              <w:jc w:val="center"/>
              <w:rPr>
                <w:rFonts w:ascii="Times New Roman" w:hAnsi="Times New Roman" w:cs="Times New Roman"/>
                <w:color w:val="auto"/>
                <w:szCs w:val="18"/>
              </w:rPr>
            </w:pPr>
            <w:r>
              <w:rPr>
                <w:rFonts w:ascii="Times New Roman" w:hAnsi="Times New Roman" w:cs="Times New Roman"/>
                <w:color w:val="auto"/>
                <w:szCs w:val="18"/>
              </w:rPr>
              <w:t>0.</w:t>
            </w:r>
            <w:r>
              <w:rPr>
                <w:rFonts w:hint="eastAsia" w:ascii="Times New Roman" w:hAnsi="Times New Roman" w:cs="Times New Roman"/>
                <w:color w:val="auto"/>
                <w:szCs w:val="18"/>
              </w:rPr>
              <w:t>0</w:t>
            </w:r>
            <w:r>
              <w:rPr>
                <w:rFonts w:ascii="Times New Roman" w:hAnsi="Times New Roman" w:cs="Times New Roman"/>
                <w:color w:val="auto"/>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82" w:type="dxa"/>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说明</w:t>
            </w:r>
          </w:p>
        </w:tc>
        <w:tc>
          <w:tcPr>
            <w:tcW w:w="8846" w:type="dxa"/>
            <w:gridSpan w:val="9"/>
          </w:tcPr>
          <w:p>
            <w:pPr>
              <w:numPr>
                <w:ilvl w:val="0"/>
                <w:numId w:val="4"/>
              </w:numPr>
              <w:spacing w:line="240" w:lineRule="auto"/>
              <w:ind w:left="420" w:hanging="420"/>
              <w:rPr>
                <w:rFonts w:ascii="宋体" w:hAnsi="宋体" w:cs="Times New Roman"/>
                <w:color w:val="auto"/>
                <w:szCs w:val="18"/>
              </w:rPr>
            </w:pPr>
            <w:r>
              <w:rPr>
                <w:rFonts w:hint="eastAsia" w:ascii="宋体" w:hAnsi="宋体" w:cs="Times New Roman"/>
                <w:color w:val="auto"/>
                <w:szCs w:val="18"/>
              </w:rPr>
              <w:t>请对所获奖励情况出示证明。</w:t>
            </w:r>
          </w:p>
          <w:p>
            <w:pPr>
              <w:numPr>
                <w:ilvl w:val="0"/>
                <w:numId w:val="4"/>
              </w:numPr>
              <w:spacing w:line="240" w:lineRule="auto"/>
              <w:ind w:left="420" w:hanging="420"/>
              <w:rPr>
                <w:rFonts w:ascii="宋体" w:hAnsi="宋体" w:cs="Times New Roman"/>
                <w:color w:val="auto"/>
                <w:szCs w:val="18"/>
              </w:rPr>
            </w:pPr>
            <w:r>
              <w:rPr>
                <w:rFonts w:hint="eastAsia" w:ascii="宋体" w:hAnsi="宋体" w:cs="Times New Roman"/>
                <w:color w:val="auto"/>
                <w:szCs w:val="18"/>
              </w:rPr>
              <w:t>同类的体育项目加分不累加，只加最高项。</w:t>
            </w:r>
          </w:p>
          <w:p>
            <w:pPr>
              <w:numPr>
                <w:ilvl w:val="0"/>
                <w:numId w:val="4"/>
              </w:numPr>
              <w:spacing w:line="240" w:lineRule="auto"/>
              <w:ind w:left="420" w:hanging="420"/>
              <w:rPr>
                <w:rFonts w:ascii="宋体" w:hAnsi="宋体" w:cs="Times New Roman"/>
                <w:color w:val="auto"/>
                <w:szCs w:val="18"/>
              </w:rPr>
            </w:pPr>
            <w:r>
              <w:rPr>
                <w:rFonts w:hint="eastAsia" w:ascii="宋体" w:hAnsi="宋体" w:cs="Times New Roman"/>
                <w:color w:val="auto"/>
                <w:szCs w:val="18"/>
              </w:rPr>
              <w:t>不同类体育活动加分不超过两项。</w:t>
            </w:r>
          </w:p>
          <w:p>
            <w:pPr>
              <w:numPr>
                <w:ilvl w:val="0"/>
                <w:numId w:val="4"/>
              </w:numPr>
              <w:spacing w:line="240" w:lineRule="auto"/>
              <w:ind w:left="420" w:hanging="420"/>
              <w:rPr>
                <w:rFonts w:ascii="宋体" w:hAnsi="宋体" w:cs="Times New Roman"/>
                <w:color w:val="auto"/>
                <w:szCs w:val="18"/>
              </w:rPr>
            </w:pPr>
            <w:r>
              <w:rPr>
                <w:rFonts w:hint="eastAsia" w:ascii="宋体" w:hAnsi="宋体" w:cs="Times New Roman"/>
                <w:color w:val="auto"/>
                <w:szCs w:val="18"/>
              </w:rPr>
              <w:t>文艺体育加分总共不可累加超过三项。</w:t>
            </w:r>
          </w:p>
          <w:p>
            <w:pPr>
              <w:numPr>
                <w:ilvl w:val="0"/>
                <w:numId w:val="4"/>
              </w:numPr>
              <w:spacing w:line="240" w:lineRule="auto"/>
              <w:ind w:left="420" w:hanging="420"/>
              <w:rPr>
                <w:rFonts w:ascii="宋体" w:hAnsi="宋体" w:cs="Times New Roman"/>
                <w:color w:val="auto"/>
                <w:szCs w:val="18"/>
              </w:rPr>
            </w:pPr>
            <w:r>
              <w:rPr>
                <w:rFonts w:hint="eastAsia" w:ascii="宋体" w:hAnsi="宋体" w:cs="Times New Roman"/>
                <w:color w:val="auto"/>
                <w:szCs w:val="18"/>
              </w:rPr>
              <w:t>以上加分值是对个人项目和集体项目的主力成员而言。除接力赛、武术集体项目外，集体项目区分主力和一般成员，一般成员加分是主力成员的40%。</w:t>
            </w:r>
          </w:p>
          <w:p>
            <w:pPr>
              <w:numPr>
                <w:ilvl w:val="0"/>
                <w:numId w:val="4"/>
              </w:numPr>
              <w:spacing w:line="240" w:lineRule="auto"/>
              <w:ind w:left="420" w:hanging="420"/>
              <w:rPr>
                <w:rFonts w:ascii="宋体" w:hAnsi="宋体" w:cs="Times New Roman"/>
                <w:color w:val="auto"/>
                <w:szCs w:val="18"/>
              </w:rPr>
            </w:pPr>
            <w:r>
              <w:rPr>
                <w:rFonts w:hint="eastAsia" w:ascii="宋体" w:hAnsi="宋体" w:cs="Times New Roman"/>
                <w:color w:val="auto"/>
                <w:szCs w:val="18"/>
              </w:rPr>
              <w:t>校级以上的体育竞赛裁判员同第一名加等值分。</w:t>
            </w:r>
          </w:p>
          <w:p>
            <w:pPr>
              <w:numPr>
                <w:ilvl w:val="0"/>
                <w:numId w:val="4"/>
              </w:numPr>
              <w:spacing w:line="240" w:lineRule="auto"/>
              <w:ind w:left="420" w:hanging="420"/>
              <w:rPr>
                <w:rFonts w:ascii="宋体" w:hAnsi="宋体" w:cs="Times New Roman"/>
                <w:color w:val="auto"/>
                <w:szCs w:val="18"/>
              </w:rPr>
            </w:pPr>
            <w:r>
              <w:rPr>
                <w:rFonts w:hint="eastAsia" w:ascii="宋体" w:hAnsi="宋体" w:cs="Times New Roman"/>
                <w:color w:val="auto"/>
                <w:szCs w:val="18"/>
              </w:rPr>
              <w:t>在大学生体育竞赛中打破国家级或国家级以上加0.5分、省级高校加0.3分、校级单项记录者加0.2分。</w:t>
            </w:r>
          </w:p>
          <w:p>
            <w:pPr>
              <w:numPr>
                <w:ilvl w:val="0"/>
                <w:numId w:val="4"/>
              </w:numPr>
              <w:spacing w:line="240" w:lineRule="auto"/>
              <w:ind w:left="420" w:hanging="420"/>
              <w:rPr>
                <w:rFonts w:ascii="宋体" w:hAnsi="宋体" w:cs="Times New Roman"/>
                <w:color w:val="auto"/>
                <w:szCs w:val="18"/>
              </w:rPr>
            </w:pPr>
            <w:r>
              <w:rPr>
                <w:rFonts w:hint="eastAsia" w:ascii="宋体" w:hAnsi="宋体" w:cs="Times New Roman"/>
                <w:color w:val="auto"/>
                <w:szCs w:val="18"/>
              </w:rPr>
              <w:t>在校内社团及协会举行的全校性体育竞赛中获奖属多院系级别加分，优胜奖获得者不加分；校外社团及协会等机构举办的活动须经学院奖学金评定小组审核。</w:t>
            </w:r>
          </w:p>
        </w:tc>
      </w:tr>
    </w:tbl>
    <w:p>
      <w:pPr>
        <w:rPr>
          <w:color w:val="auto"/>
        </w:rPr>
      </w:pPr>
      <w:r>
        <w:rPr>
          <w:color w:val="auto"/>
        </w:rPr>
        <w:br w:type="page"/>
      </w:r>
    </w:p>
    <w:p>
      <w:pPr>
        <w:pStyle w:val="3"/>
        <w:rPr>
          <w:color w:val="auto"/>
        </w:rPr>
      </w:pPr>
      <w:r>
        <w:rPr>
          <w:rFonts w:hint="eastAsia"/>
          <w:color w:val="auto"/>
        </w:rPr>
        <w:t>（四）自主学习能力（选达）</w:t>
      </w:r>
    </w:p>
    <w:tbl>
      <w:tblPr>
        <w:tblStyle w:val="12"/>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09"/>
        <w:gridCol w:w="708"/>
        <w:gridCol w:w="709"/>
        <w:gridCol w:w="567"/>
        <w:gridCol w:w="709"/>
        <w:gridCol w:w="567"/>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jc w:val="center"/>
        </w:trPr>
        <w:tc>
          <w:tcPr>
            <w:tcW w:w="9710" w:type="dxa"/>
            <w:gridSpan w:val="13"/>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 w:val="21"/>
                <w:szCs w:val="24"/>
              </w:rPr>
              <w:t>非专业学习竞赛</w:t>
            </w:r>
            <w:r>
              <w:rPr>
                <w:rFonts w:hint="eastAsia" w:ascii="Times New Roman" w:hAnsi="Times New Roman" w:cs="Times New Roman"/>
                <w:color w:val="auto"/>
                <w:sz w:val="21"/>
                <w:szCs w:val="24"/>
              </w:rPr>
              <w:t>（如获具体名次其加分由学院奖学金评定小组商议）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48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级别</w:t>
            </w:r>
          </w:p>
        </w:tc>
        <w:tc>
          <w:tcPr>
            <w:tcW w:w="2126" w:type="dxa"/>
            <w:gridSpan w:val="3"/>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国家级</w:t>
            </w:r>
          </w:p>
        </w:tc>
        <w:tc>
          <w:tcPr>
            <w:tcW w:w="1843" w:type="dxa"/>
            <w:gridSpan w:val="3"/>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省级</w:t>
            </w:r>
          </w:p>
        </w:tc>
        <w:tc>
          <w:tcPr>
            <w:tcW w:w="2126" w:type="dxa"/>
            <w:gridSpan w:val="3"/>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市级</w:t>
            </w:r>
          </w:p>
        </w:tc>
        <w:tc>
          <w:tcPr>
            <w:tcW w:w="2126" w:type="dxa"/>
            <w:gridSpan w:val="3"/>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8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等级</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一</w:t>
            </w:r>
          </w:p>
        </w:tc>
        <w:tc>
          <w:tcPr>
            <w:tcW w:w="708"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二</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三</w:t>
            </w:r>
          </w:p>
        </w:tc>
        <w:tc>
          <w:tcPr>
            <w:tcW w:w="567"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一</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二</w:t>
            </w:r>
          </w:p>
        </w:tc>
        <w:tc>
          <w:tcPr>
            <w:tcW w:w="567" w:type="dxa"/>
            <w:shd w:val="clear" w:color="auto" w:fill="auto"/>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三</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一</w:t>
            </w:r>
          </w:p>
        </w:tc>
        <w:tc>
          <w:tcPr>
            <w:tcW w:w="708"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二</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三</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一</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二</w:t>
            </w:r>
          </w:p>
        </w:tc>
        <w:tc>
          <w:tcPr>
            <w:tcW w:w="708"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8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加分</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0.6</w:t>
            </w:r>
          </w:p>
        </w:tc>
        <w:tc>
          <w:tcPr>
            <w:tcW w:w="708"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0.4</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0.3</w:t>
            </w:r>
          </w:p>
        </w:tc>
        <w:tc>
          <w:tcPr>
            <w:tcW w:w="567"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0.3</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0.24</w:t>
            </w:r>
          </w:p>
        </w:tc>
        <w:tc>
          <w:tcPr>
            <w:tcW w:w="567" w:type="dxa"/>
            <w:shd w:val="clear" w:color="auto" w:fill="auto"/>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0.2</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0.24</w:t>
            </w:r>
          </w:p>
        </w:tc>
        <w:tc>
          <w:tcPr>
            <w:tcW w:w="708"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0.2</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0.16</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0.2</w:t>
            </w:r>
          </w:p>
        </w:tc>
        <w:tc>
          <w:tcPr>
            <w:tcW w:w="70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0.16</w:t>
            </w:r>
          </w:p>
        </w:tc>
        <w:tc>
          <w:tcPr>
            <w:tcW w:w="708"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489" w:type="dxa"/>
            <w:vAlign w:val="center"/>
          </w:tcPr>
          <w:p>
            <w:pPr>
              <w:spacing w:line="360" w:lineRule="auto"/>
              <w:jc w:val="center"/>
              <w:rPr>
                <w:rFonts w:ascii="Times New Roman" w:hAnsi="Times New Roman" w:cs="Times New Roman"/>
                <w:b/>
                <w:color w:val="auto"/>
                <w:szCs w:val="24"/>
              </w:rPr>
            </w:pPr>
            <w:r>
              <w:rPr>
                <w:rFonts w:hint="eastAsia" w:ascii="Times New Roman" w:hAnsi="Times New Roman" w:cs="Times New Roman"/>
                <w:b/>
                <w:color w:val="auto"/>
                <w:szCs w:val="24"/>
              </w:rPr>
              <w:t>说明</w:t>
            </w:r>
          </w:p>
        </w:tc>
        <w:tc>
          <w:tcPr>
            <w:tcW w:w="8221" w:type="dxa"/>
            <w:gridSpan w:val="12"/>
            <w:vAlign w:val="center"/>
          </w:tcPr>
          <w:p>
            <w:pPr>
              <w:numPr>
                <w:ilvl w:val="0"/>
                <w:numId w:val="5"/>
              </w:numPr>
              <w:spacing w:line="240" w:lineRule="auto"/>
              <w:ind w:left="420" w:hanging="420"/>
              <w:rPr>
                <w:rFonts w:ascii="Times New Roman" w:hAnsi="Times New Roman" w:cs="Times New Roman"/>
                <w:color w:val="auto"/>
                <w:szCs w:val="24"/>
              </w:rPr>
            </w:pPr>
            <w:r>
              <w:rPr>
                <w:rFonts w:hint="eastAsia" w:ascii="Times New Roman" w:hAnsi="Times New Roman" w:cs="Times New Roman"/>
                <w:color w:val="auto"/>
                <w:szCs w:val="24"/>
              </w:rPr>
              <w:t>以上分值是对第一完成人而言，第二、第三完成人分别按以上分值递减</w:t>
            </w:r>
            <w:r>
              <w:rPr>
                <w:rFonts w:ascii="Times New Roman" w:hAnsi="Times New Roman" w:cs="Times New Roman"/>
                <w:color w:val="auto"/>
                <w:szCs w:val="24"/>
              </w:rPr>
              <w:t>60%</w:t>
            </w:r>
            <w:r>
              <w:rPr>
                <w:rFonts w:hint="eastAsia" w:ascii="Times New Roman" w:hAnsi="Times New Roman" w:cs="Times New Roman"/>
                <w:color w:val="auto"/>
                <w:szCs w:val="24"/>
              </w:rPr>
              <w:t>、</w:t>
            </w:r>
            <w:r>
              <w:rPr>
                <w:rFonts w:ascii="Times New Roman" w:hAnsi="Times New Roman" w:cs="Times New Roman"/>
                <w:color w:val="auto"/>
                <w:szCs w:val="24"/>
              </w:rPr>
              <w:t>90%</w:t>
            </w:r>
            <w:r>
              <w:rPr>
                <w:rFonts w:hint="eastAsia" w:ascii="Times New Roman" w:hAnsi="Times New Roman" w:cs="Times New Roman"/>
                <w:color w:val="auto"/>
                <w:szCs w:val="24"/>
              </w:rPr>
              <w:t>。</w:t>
            </w:r>
            <w:r>
              <w:rPr>
                <w:rFonts w:hint="eastAsia" w:ascii="宋体" w:hAnsi="宋体" w:cs="Times New Roman"/>
                <w:color w:val="auto"/>
                <w:szCs w:val="18"/>
              </w:rPr>
              <w:t>≥10人的团队，开出一、二、三完成人名单的证明，并且有人数（“一”＜“二”＜“三”）；＜10人的团队，开出一、二完成人名单的证明，并且有人数（“一”≤“二”）。若未注明第一、第二、第三完成人，则按参加人数平均该分值。</w:t>
            </w:r>
          </w:p>
          <w:p>
            <w:pPr>
              <w:numPr>
                <w:ilvl w:val="0"/>
                <w:numId w:val="5"/>
              </w:numPr>
              <w:spacing w:line="240" w:lineRule="auto"/>
              <w:ind w:left="420" w:hanging="420"/>
              <w:rPr>
                <w:rFonts w:ascii="Times New Roman" w:hAnsi="Times New Roman" w:cs="Times New Roman"/>
                <w:color w:val="auto"/>
                <w:szCs w:val="24"/>
              </w:rPr>
            </w:pPr>
            <w:r>
              <w:rPr>
                <w:rFonts w:hint="eastAsia" w:ascii="Times New Roman" w:hAnsi="Times New Roman" w:cs="Times New Roman"/>
                <w:color w:val="auto"/>
                <w:szCs w:val="24"/>
              </w:rPr>
              <w:t>不同学科的学习竞赛可累加计分，同一学科的同一系列学习竞赛只计最高分。</w:t>
            </w:r>
          </w:p>
          <w:p>
            <w:pPr>
              <w:numPr>
                <w:ilvl w:val="0"/>
                <w:numId w:val="5"/>
              </w:numPr>
              <w:spacing w:line="240" w:lineRule="auto"/>
              <w:ind w:left="420" w:hanging="420"/>
              <w:rPr>
                <w:rFonts w:ascii="Times New Roman" w:hAnsi="Times New Roman" w:cs="Times New Roman"/>
                <w:color w:val="auto"/>
                <w:szCs w:val="24"/>
              </w:rPr>
            </w:pPr>
            <w:r>
              <w:rPr>
                <w:rFonts w:hint="eastAsia" w:ascii="Times New Roman" w:hAnsi="Times New Roman" w:cs="Times New Roman"/>
                <w:color w:val="auto"/>
                <w:szCs w:val="24"/>
              </w:rPr>
              <w:t>学术竞赛指与化学类联系较紧密的自然学科的学术竞赛，如数学、物理、生物、地理科学等，其余为非学术竞赛。非学术竞赛按学术竞赛相应级别折半加分，需经学院奖学金评定小组审核。</w:t>
            </w:r>
          </w:p>
          <w:p>
            <w:pPr>
              <w:numPr>
                <w:ilvl w:val="0"/>
                <w:numId w:val="5"/>
              </w:numPr>
              <w:spacing w:line="240" w:lineRule="auto"/>
              <w:ind w:left="420" w:hanging="420"/>
              <w:jc w:val="left"/>
              <w:rPr>
                <w:rFonts w:ascii="宋体" w:hAnsi="宋体" w:cs="Times New Roman"/>
                <w:color w:val="auto"/>
                <w:szCs w:val="18"/>
              </w:rPr>
            </w:pPr>
            <w:r>
              <w:rPr>
                <w:rFonts w:hint="eastAsia" w:ascii="宋体" w:hAnsi="宋体" w:cs="Times New Roman"/>
                <w:color w:val="auto"/>
                <w:szCs w:val="18"/>
              </w:rPr>
              <w:t>特等奖、优胜奖参照主办方评奖级别，由奖学金评定小组讨论确定相应加分。</w:t>
            </w:r>
          </w:p>
          <w:p>
            <w:pPr>
              <w:numPr>
                <w:ilvl w:val="0"/>
                <w:numId w:val="5"/>
              </w:numPr>
              <w:spacing w:line="240" w:lineRule="auto"/>
              <w:ind w:left="420" w:hanging="420"/>
              <w:rPr>
                <w:rFonts w:ascii="Times New Roman" w:hAnsi="Times New Roman" w:cs="Times New Roman"/>
                <w:color w:val="auto"/>
                <w:szCs w:val="24"/>
              </w:rPr>
            </w:pPr>
            <w:r>
              <w:rPr>
                <w:rFonts w:hint="eastAsia" w:ascii="宋体" w:hAnsi="宋体" w:cs="Times New Roman"/>
                <w:color w:val="auto"/>
                <w:szCs w:val="18"/>
              </w:rPr>
              <w:t>由多校的单院系主办比赛的加分值按多院系计，不予加分。</w:t>
            </w:r>
          </w:p>
        </w:tc>
      </w:tr>
    </w:tbl>
    <w:p>
      <w:pPr>
        <w:rPr>
          <w:color w:val="auto"/>
        </w:rPr>
      </w:pPr>
      <w:r>
        <w:rPr>
          <w:color w:val="auto"/>
        </w:rPr>
        <w:br w:type="page"/>
      </w:r>
    </w:p>
    <w:p>
      <w:pPr>
        <w:pStyle w:val="2"/>
        <w:spacing w:before="156" w:after="156"/>
        <w:rPr>
          <w:color w:val="auto"/>
        </w:rPr>
      </w:pPr>
      <w:r>
        <w:rPr>
          <w:rFonts w:hint="eastAsia"/>
          <w:color w:val="auto"/>
        </w:rPr>
        <w:t>二、领袖气质</w:t>
      </w:r>
    </w:p>
    <w:p>
      <w:pPr>
        <w:pStyle w:val="3"/>
        <w:rPr>
          <w:color w:val="auto"/>
        </w:rPr>
      </w:pPr>
      <w:r>
        <w:rPr>
          <w:rFonts w:hint="eastAsia"/>
          <w:color w:val="auto"/>
        </w:rPr>
        <w:t>（一）追求卓越（附表4）</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1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8" w:type="pct"/>
          </w:tcPr>
          <w:p>
            <w:pPr>
              <w:spacing w:line="360" w:lineRule="auto"/>
              <w:jc w:val="center"/>
              <w:rPr>
                <w:rFonts w:ascii="宋体" w:hAnsi="宋体" w:cs="Times New Roman"/>
                <w:b/>
                <w:color w:val="auto"/>
                <w:szCs w:val="18"/>
              </w:rPr>
            </w:pPr>
            <w:r>
              <w:rPr>
                <w:rFonts w:hint="eastAsia" w:ascii="仿宋_GB2312" w:hAnsi="仿宋_GB2312" w:eastAsia="仿宋_GB2312" w:cs="仿宋_GB2312"/>
                <w:b/>
                <w:color w:val="auto"/>
                <w:kern w:val="0"/>
                <w:szCs w:val="21"/>
                <w:lang w:bidi="ar"/>
              </w:rPr>
              <w:t>指标性质</w:t>
            </w: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加分</w:t>
            </w:r>
          </w:p>
        </w:tc>
        <w:tc>
          <w:tcPr>
            <w:tcW w:w="3784"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加    分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08" w:type="pct"/>
            <w:vMerge w:val="restar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必达</w:t>
            </w: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w:t>
            </w:r>
          </w:p>
        </w:tc>
        <w:tc>
          <w:tcPr>
            <w:tcW w:w="3784" w:type="pct"/>
            <w:vAlign w:val="center"/>
          </w:tcPr>
          <w:p>
            <w:pPr>
              <w:spacing w:line="360" w:lineRule="auto"/>
              <w:ind w:left="572" w:hanging="395"/>
              <w:rPr>
                <w:rFonts w:ascii="宋体" w:hAnsi="宋体" w:cs="Times New Roman"/>
                <w:color w:val="auto"/>
                <w:szCs w:val="18"/>
              </w:rPr>
            </w:pPr>
            <w:r>
              <w:rPr>
                <w:rFonts w:hint="eastAsia" w:ascii="宋体" w:hAnsi="宋体" w:cs="Times New Roman"/>
                <w:color w:val="auto"/>
                <w:szCs w:val="18"/>
              </w:rPr>
              <w:t>严格要求自己，具有较好的自我管理能力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08" w:type="pct"/>
            <w:vMerge w:val="continue"/>
            <w:vAlign w:val="center"/>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w:t>
            </w:r>
          </w:p>
        </w:tc>
        <w:tc>
          <w:tcPr>
            <w:tcW w:w="3784" w:type="pct"/>
          </w:tcPr>
          <w:p>
            <w:pPr>
              <w:spacing w:line="360" w:lineRule="auto"/>
              <w:ind w:left="210" w:leftChars="100"/>
              <w:rPr>
                <w:rFonts w:ascii="宋体" w:hAnsi="宋体" w:cs="Times New Roman"/>
                <w:color w:val="auto"/>
                <w:szCs w:val="18"/>
              </w:rPr>
            </w:pPr>
            <w:r>
              <w:rPr>
                <w:rFonts w:hint="eastAsia" w:ascii="宋体" w:hAnsi="宋体" w:cs="Times New Roman"/>
                <w:color w:val="auto"/>
                <w:szCs w:val="18"/>
              </w:rPr>
              <w:t>学风端正，学习目标明确，有理想，有担当，有科学的思想方法和严谨的治学精神；谦虚好学，刻苦认真。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608" w:type="pct"/>
            <w:vMerge w:val="restar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选达</w:t>
            </w: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0.8</w:t>
            </w:r>
          </w:p>
        </w:tc>
        <w:tc>
          <w:tcPr>
            <w:tcW w:w="3784" w:type="pct"/>
            <w:vAlign w:val="center"/>
          </w:tcPr>
          <w:p>
            <w:pPr>
              <w:spacing w:line="360" w:lineRule="auto"/>
              <w:ind w:left="572" w:hanging="395"/>
              <w:rPr>
                <w:rFonts w:ascii="宋体" w:hAnsi="宋体" w:cs="Times New Roman"/>
                <w:color w:val="auto"/>
                <w:szCs w:val="18"/>
              </w:rPr>
            </w:pPr>
            <w:r>
              <w:rPr>
                <w:rFonts w:hint="eastAsia" w:ascii="宋体" w:hAnsi="宋体" w:cs="Times New Roman"/>
                <w:color w:val="auto"/>
                <w:szCs w:val="18"/>
              </w:rPr>
              <w:t>A、全国优秀学生干部、三好学生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0.5</w:t>
            </w:r>
          </w:p>
        </w:tc>
        <w:tc>
          <w:tcPr>
            <w:tcW w:w="3784" w:type="pct"/>
            <w:vAlign w:val="center"/>
          </w:tcPr>
          <w:p>
            <w:pPr>
              <w:spacing w:line="360" w:lineRule="auto"/>
              <w:ind w:left="572" w:hanging="395"/>
              <w:rPr>
                <w:rFonts w:ascii="宋体" w:hAnsi="宋体" w:cs="Times New Roman"/>
                <w:color w:val="auto"/>
                <w:szCs w:val="18"/>
              </w:rPr>
            </w:pPr>
            <w:r>
              <w:rPr>
                <w:rFonts w:hint="eastAsia" w:ascii="宋体" w:hAnsi="宋体" w:cs="Times New Roman"/>
                <w:color w:val="auto"/>
                <w:szCs w:val="18"/>
              </w:rPr>
              <w:t>A、省级优秀党员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0.3</w:t>
            </w:r>
          </w:p>
        </w:tc>
        <w:tc>
          <w:tcPr>
            <w:tcW w:w="3784" w:type="pct"/>
            <w:vAlign w:val="center"/>
          </w:tcPr>
          <w:p>
            <w:pPr>
              <w:spacing w:line="360" w:lineRule="auto"/>
              <w:ind w:left="572" w:hanging="395"/>
              <w:rPr>
                <w:rFonts w:ascii="宋体" w:hAnsi="宋体" w:cs="Times New Roman"/>
                <w:color w:val="auto"/>
                <w:szCs w:val="18"/>
              </w:rPr>
            </w:pPr>
            <w:r>
              <w:rPr>
                <w:rFonts w:hint="eastAsia" w:ascii="宋体" w:hAnsi="宋体" w:cs="Times New Roman"/>
                <w:color w:val="auto"/>
                <w:szCs w:val="18"/>
              </w:rPr>
              <w:t>A、省级优秀学生干部及团干部、省级优秀学生和优秀团员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0.2</w:t>
            </w:r>
          </w:p>
        </w:tc>
        <w:tc>
          <w:tcPr>
            <w:tcW w:w="3784" w:type="pct"/>
            <w:vAlign w:val="center"/>
          </w:tcPr>
          <w:p>
            <w:pPr>
              <w:spacing w:line="360" w:lineRule="auto"/>
              <w:ind w:left="572" w:hanging="395"/>
              <w:rPr>
                <w:rFonts w:ascii="宋体" w:hAnsi="宋体" w:cs="Times New Roman"/>
                <w:color w:val="auto"/>
                <w:szCs w:val="18"/>
              </w:rPr>
            </w:pPr>
            <w:r>
              <w:rPr>
                <w:rFonts w:hint="eastAsia" w:ascii="宋体" w:hAnsi="宋体" w:cs="Times New Roman"/>
                <w:color w:val="auto"/>
                <w:szCs w:val="18"/>
              </w:rPr>
              <w:t>A、获市级（如广州市、珠海市）表彰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0.15</w:t>
            </w:r>
          </w:p>
        </w:tc>
        <w:tc>
          <w:tcPr>
            <w:tcW w:w="3784" w:type="pct"/>
            <w:vAlign w:val="center"/>
          </w:tcPr>
          <w:p>
            <w:pPr>
              <w:spacing w:line="360" w:lineRule="auto"/>
              <w:ind w:left="572" w:hanging="395"/>
              <w:rPr>
                <w:rFonts w:ascii="宋体" w:hAnsi="宋体" w:cs="Times New Roman"/>
                <w:color w:val="auto"/>
                <w:szCs w:val="18"/>
              </w:rPr>
            </w:pPr>
            <w:r>
              <w:rPr>
                <w:rFonts w:hint="eastAsia" w:ascii="宋体" w:hAnsi="宋体" w:cs="Times New Roman"/>
                <w:color w:val="auto"/>
                <w:szCs w:val="18"/>
              </w:rPr>
              <w:t>A、获区级（如广州市海珠区）表彰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0.10</w:t>
            </w:r>
          </w:p>
        </w:tc>
        <w:tc>
          <w:tcPr>
            <w:tcW w:w="3784" w:type="pct"/>
            <w:vAlign w:val="center"/>
          </w:tcPr>
          <w:p>
            <w:pPr>
              <w:tabs>
                <w:tab w:val="left" w:pos="844"/>
              </w:tabs>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A、校级优秀党员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ascii="宋体" w:hAnsi="宋体" w:cs="Times New Roman"/>
                <w:b/>
                <w:color w:val="auto"/>
                <w:szCs w:val="18"/>
              </w:rPr>
              <w:t>0.</w:t>
            </w:r>
            <w:r>
              <w:rPr>
                <w:rFonts w:hint="eastAsia" w:ascii="宋体" w:hAnsi="宋体" w:cs="Times New Roman"/>
                <w:b/>
                <w:color w:val="auto"/>
                <w:szCs w:val="18"/>
              </w:rPr>
              <w:t>06</w:t>
            </w:r>
          </w:p>
        </w:tc>
        <w:tc>
          <w:tcPr>
            <w:tcW w:w="3784" w:type="pct"/>
            <w:vAlign w:val="center"/>
          </w:tcPr>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A、校级十佳团支书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ascii="宋体" w:hAnsi="宋体" w:cs="Times New Roman"/>
                <w:b/>
                <w:color w:val="auto"/>
                <w:szCs w:val="18"/>
              </w:rPr>
              <w:t>0.</w:t>
            </w:r>
            <w:r>
              <w:rPr>
                <w:rFonts w:hint="eastAsia" w:ascii="宋体" w:hAnsi="宋体" w:cs="Times New Roman"/>
                <w:b/>
                <w:color w:val="auto"/>
                <w:szCs w:val="18"/>
              </w:rPr>
              <w:t>0</w:t>
            </w:r>
            <w:r>
              <w:rPr>
                <w:rFonts w:ascii="宋体" w:hAnsi="宋体" w:cs="Times New Roman"/>
                <w:b/>
                <w:color w:val="auto"/>
                <w:szCs w:val="18"/>
              </w:rPr>
              <w:t>5</w:t>
            </w:r>
          </w:p>
        </w:tc>
        <w:tc>
          <w:tcPr>
            <w:tcW w:w="3784" w:type="pct"/>
            <w:vAlign w:val="center"/>
          </w:tcPr>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A、校级优秀团干部及学生干部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ascii="宋体" w:hAnsi="宋体" w:cs="Times New Roman"/>
                <w:b/>
                <w:color w:val="auto"/>
                <w:szCs w:val="18"/>
              </w:rPr>
              <w:t>0.</w:t>
            </w:r>
            <w:r>
              <w:rPr>
                <w:rFonts w:hint="eastAsia" w:ascii="宋体" w:hAnsi="宋体" w:cs="Times New Roman"/>
                <w:b/>
                <w:color w:val="auto"/>
                <w:szCs w:val="18"/>
              </w:rPr>
              <w:t>0</w:t>
            </w:r>
            <w:r>
              <w:rPr>
                <w:rFonts w:ascii="宋体" w:hAnsi="宋体" w:cs="Times New Roman"/>
                <w:b/>
                <w:color w:val="auto"/>
                <w:szCs w:val="18"/>
              </w:rPr>
              <w:t>3</w:t>
            </w:r>
          </w:p>
        </w:tc>
        <w:tc>
          <w:tcPr>
            <w:tcW w:w="3784" w:type="pct"/>
            <w:vAlign w:val="center"/>
          </w:tcPr>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A、校级优秀团员</w:t>
            </w:r>
          </w:p>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B、获各校区表彰（如校区勤工俭学积极分子等）</w:t>
            </w:r>
          </w:p>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C、院级优秀学生干部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08" w:type="pct"/>
            <w:vMerge w:val="continue"/>
            <w:tcBorders>
              <w:bottom w:val="single" w:color="auto" w:sz="4" w:space="0"/>
            </w:tcBorders>
          </w:tcPr>
          <w:p>
            <w:pPr>
              <w:spacing w:line="360" w:lineRule="auto"/>
              <w:jc w:val="center"/>
              <w:rPr>
                <w:rFonts w:ascii="宋体" w:hAnsi="宋体" w:cs="Times New Roman"/>
                <w:b/>
                <w:color w:val="auto"/>
                <w:szCs w:val="18"/>
              </w:rPr>
            </w:pPr>
          </w:p>
        </w:tc>
        <w:tc>
          <w:tcPr>
            <w:tcW w:w="608" w:type="pct"/>
            <w:tcBorders>
              <w:bottom w:val="single" w:color="auto" w:sz="4" w:space="0"/>
            </w:tcBorders>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说  明</w:t>
            </w:r>
          </w:p>
        </w:tc>
        <w:tc>
          <w:tcPr>
            <w:tcW w:w="3784" w:type="pct"/>
            <w:tcBorders>
              <w:bottom w:val="single" w:color="auto" w:sz="4" w:space="0"/>
            </w:tcBorders>
            <w:vAlign w:val="center"/>
          </w:tcPr>
          <w:p>
            <w:pPr>
              <w:spacing w:line="360" w:lineRule="auto"/>
              <w:ind w:firstLine="210" w:firstLineChars="100"/>
              <w:rPr>
                <w:rFonts w:ascii="宋体" w:hAnsi="宋体" w:cs="Times New Roman"/>
                <w:color w:val="auto"/>
                <w:szCs w:val="18"/>
              </w:rPr>
            </w:pPr>
            <w:r>
              <w:rPr>
                <w:rFonts w:ascii="宋体" w:hAnsi="宋体" w:cs="Times New Roman"/>
                <w:color w:val="auto"/>
                <w:szCs w:val="18"/>
              </w:rPr>
              <w:t>1.</w:t>
            </w:r>
            <w:r>
              <w:rPr>
                <w:rFonts w:hint="eastAsia" w:ascii="宋体" w:hAnsi="宋体" w:cs="Times New Roman"/>
                <w:color w:val="auto"/>
                <w:szCs w:val="18"/>
              </w:rPr>
              <w:t>凡评为各级优秀学生干部、团干部和个人者，分数不累加，只计最高分</w:t>
            </w:r>
          </w:p>
        </w:tc>
      </w:tr>
    </w:tbl>
    <w:p>
      <w:pPr>
        <w:rPr>
          <w:color w:val="auto"/>
        </w:rPr>
      </w:pPr>
    </w:p>
    <w:p>
      <w:pPr>
        <w:rPr>
          <w:color w:val="auto"/>
        </w:rPr>
      </w:pPr>
      <w:r>
        <w:rPr>
          <w:color w:val="auto"/>
        </w:rPr>
        <w:br w:type="page"/>
      </w:r>
    </w:p>
    <w:p>
      <w:pPr>
        <w:pStyle w:val="3"/>
        <w:rPr>
          <w:color w:val="auto"/>
        </w:rPr>
      </w:pPr>
      <w:r>
        <w:rPr>
          <w:rFonts w:hint="eastAsia"/>
          <w:color w:val="auto"/>
        </w:rPr>
        <w:t>（二）团结协作</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1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08" w:type="pct"/>
          </w:tcPr>
          <w:p>
            <w:pPr>
              <w:spacing w:line="360" w:lineRule="auto"/>
              <w:jc w:val="center"/>
              <w:rPr>
                <w:rFonts w:ascii="宋体" w:hAnsi="宋体" w:cs="Times New Roman"/>
                <w:b/>
                <w:color w:val="auto"/>
                <w:szCs w:val="18"/>
              </w:rPr>
            </w:pPr>
            <w:r>
              <w:rPr>
                <w:rFonts w:hint="eastAsia" w:ascii="宋体" w:hAnsi="宋体" w:cs="Times New Roman"/>
                <w:b/>
                <w:color w:val="auto"/>
                <w:szCs w:val="18"/>
              </w:rPr>
              <w:t>指标性质</w:t>
            </w: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加分</w:t>
            </w:r>
          </w:p>
        </w:tc>
        <w:tc>
          <w:tcPr>
            <w:tcW w:w="3784"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加    分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8" w:type="pct"/>
            <w:vMerge w:val="restar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必达</w:t>
            </w: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w:t>
            </w:r>
          </w:p>
        </w:tc>
        <w:tc>
          <w:tcPr>
            <w:tcW w:w="3784" w:type="pct"/>
            <w:vAlign w:val="center"/>
          </w:tcPr>
          <w:p>
            <w:pPr>
              <w:tabs>
                <w:tab w:val="left" w:pos="844"/>
              </w:tabs>
              <w:spacing w:line="360" w:lineRule="auto"/>
              <w:ind w:firstLine="210" w:firstLineChars="100"/>
              <w:rPr>
                <w:rFonts w:ascii="宋体" w:hAnsi="宋体" w:cs="Times New Roman"/>
                <w:color w:val="auto"/>
                <w:szCs w:val="18"/>
              </w:rPr>
            </w:pPr>
            <w:r>
              <w:rPr>
                <w:rFonts w:hint="eastAsia" w:ascii="宋体" w:hAnsi="宋体" w:cs="Times New Roman"/>
                <w:color w:val="auto"/>
                <w:szCs w:val="18"/>
              </w:rPr>
              <w:t>团结同学，待人宽容友善。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8" w:type="pct"/>
            <w:vMerge w:val="continue"/>
            <w:vAlign w:val="center"/>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w:t>
            </w:r>
          </w:p>
        </w:tc>
        <w:tc>
          <w:tcPr>
            <w:tcW w:w="3784" w:type="pct"/>
            <w:vAlign w:val="center"/>
          </w:tcPr>
          <w:p>
            <w:pPr>
              <w:tabs>
                <w:tab w:val="left" w:pos="844"/>
              </w:tabs>
              <w:spacing w:line="360" w:lineRule="auto"/>
              <w:ind w:firstLine="210" w:firstLineChars="100"/>
              <w:rPr>
                <w:rFonts w:ascii="宋体" w:hAnsi="宋体" w:cs="Times New Roman"/>
                <w:color w:val="auto"/>
                <w:szCs w:val="18"/>
              </w:rPr>
            </w:pPr>
            <w:r>
              <w:rPr>
                <w:rFonts w:hint="eastAsia" w:ascii="宋体" w:hAnsi="宋体" w:cs="Times New Roman"/>
                <w:color w:val="auto"/>
                <w:szCs w:val="18"/>
              </w:rPr>
              <w:t>热爱集体、关心集体、自觉地为集体尽义务、做贡献、争荣誉。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8" w:type="pct"/>
            <w:vMerge w:val="restar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选达</w:t>
            </w: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0.10</w:t>
            </w:r>
          </w:p>
        </w:tc>
        <w:tc>
          <w:tcPr>
            <w:tcW w:w="3784" w:type="pct"/>
            <w:vAlign w:val="center"/>
          </w:tcPr>
          <w:p>
            <w:pPr>
              <w:tabs>
                <w:tab w:val="left" w:pos="844"/>
              </w:tabs>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A、全国先进集体的主要成员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0.08</w:t>
            </w:r>
          </w:p>
        </w:tc>
        <w:tc>
          <w:tcPr>
            <w:tcW w:w="3784" w:type="pct"/>
            <w:vAlign w:val="center"/>
          </w:tcPr>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A、全国先进集体的一般成员；</w:t>
            </w:r>
          </w:p>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B、省级先进集体的主要成员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ascii="宋体" w:hAnsi="宋体" w:cs="Times New Roman"/>
                <w:b/>
                <w:color w:val="auto"/>
                <w:szCs w:val="18"/>
              </w:rPr>
              <w:t>0.</w:t>
            </w:r>
            <w:r>
              <w:rPr>
                <w:rFonts w:hint="eastAsia" w:ascii="宋体" w:hAnsi="宋体" w:cs="Times New Roman"/>
                <w:b/>
                <w:color w:val="auto"/>
                <w:szCs w:val="18"/>
              </w:rPr>
              <w:t>06</w:t>
            </w:r>
          </w:p>
        </w:tc>
        <w:tc>
          <w:tcPr>
            <w:tcW w:w="3784" w:type="pct"/>
            <w:vAlign w:val="center"/>
          </w:tcPr>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A、省级先进集体的一般成员；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ascii="宋体" w:hAnsi="宋体" w:cs="Times New Roman"/>
                <w:b/>
                <w:color w:val="auto"/>
                <w:szCs w:val="18"/>
              </w:rPr>
              <w:t>0.</w:t>
            </w:r>
            <w:r>
              <w:rPr>
                <w:rFonts w:hint="eastAsia" w:ascii="宋体" w:hAnsi="宋体" w:cs="Times New Roman"/>
                <w:b/>
                <w:color w:val="auto"/>
                <w:szCs w:val="18"/>
              </w:rPr>
              <w:t>0</w:t>
            </w:r>
            <w:r>
              <w:rPr>
                <w:rFonts w:ascii="宋体" w:hAnsi="宋体" w:cs="Times New Roman"/>
                <w:b/>
                <w:color w:val="auto"/>
                <w:szCs w:val="18"/>
              </w:rPr>
              <w:t>5</w:t>
            </w:r>
          </w:p>
        </w:tc>
        <w:tc>
          <w:tcPr>
            <w:tcW w:w="3784" w:type="pct"/>
            <w:vAlign w:val="center"/>
          </w:tcPr>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A、被评为学校</w:t>
            </w:r>
            <w:r>
              <w:rPr>
                <w:rFonts w:ascii="宋体" w:hAnsi="宋体" w:cs="Times New Roman"/>
                <w:color w:val="auto"/>
                <w:szCs w:val="18"/>
              </w:rPr>
              <w:t>“</w:t>
            </w:r>
            <w:r>
              <w:rPr>
                <w:rFonts w:hint="eastAsia" w:ascii="宋体" w:hAnsi="宋体" w:cs="Times New Roman"/>
                <w:color w:val="auto"/>
                <w:szCs w:val="18"/>
              </w:rPr>
              <w:t>十佳文明宿舍</w:t>
            </w:r>
            <w:r>
              <w:rPr>
                <w:rFonts w:ascii="宋体" w:hAnsi="宋体" w:cs="Times New Roman"/>
                <w:color w:val="auto"/>
                <w:szCs w:val="18"/>
              </w:rPr>
              <w:t>”</w:t>
            </w:r>
            <w:r>
              <w:rPr>
                <w:rFonts w:hint="eastAsia" w:ascii="宋体" w:hAnsi="宋体" w:cs="Times New Roman"/>
                <w:color w:val="auto"/>
                <w:szCs w:val="18"/>
              </w:rPr>
              <w:t>的宿舍全体成员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0.035</w:t>
            </w:r>
          </w:p>
        </w:tc>
        <w:tc>
          <w:tcPr>
            <w:tcW w:w="3784" w:type="pct"/>
            <w:vAlign w:val="center"/>
          </w:tcPr>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A、被评为学校“文明标兵宿舍”的宿舍全体成员</w:t>
            </w:r>
          </w:p>
          <w:p>
            <w:pPr>
              <w:spacing w:line="360" w:lineRule="auto"/>
              <w:ind w:firstLine="210" w:firstLineChars="100"/>
              <w:rPr>
                <w:rFonts w:ascii="宋体" w:hAnsi="宋体" w:cs="Times New Roman"/>
                <w:color w:val="auto"/>
                <w:szCs w:val="18"/>
              </w:rPr>
            </w:pPr>
            <w:r>
              <w:rPr>
                <w:rFonts w:ascii="宋体" w:hAnsi="宋体" w:cs="Times New Roman"/>
                <w:color w:val="auto"/>
                <w:szCs w:val="18"/>
              </w:rPr>
              <w:t>B</w:t>
            </w:r>
            <w:r>
              <w:rPr>
                <w:rFonts w:hint="eastAsia" w:ascii="宋体" w:hAnsi="宋体" w:cs="Times New Roman"/>
                <w:color w:val="auto"/>
                <w:szCs w:val="18"/>
              </w:rPr>
              <w:t>、获校优良学风标兵班称号的班委成员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ascii="宋体" w:hAnsi="宋体" w:cs="Times New Roman"/>
                <w:b/>
                <w:color w:val="auto"/>
                <w:szCs w:val="18"/>
              </w:rPr>
              <w:t>0.</w:t>
            </w:r>
            <w:r>
              <w:rPr>
                <w:rFonts w:hint="eastAsia" w:ascii="宋体" w:hAnsi="宋体" w:cs="Times New Roman"/>
                <w:b/>
                <w:color w:val="auto"/>
                <w:szCs w:val="18"/>
              </w:rPr>
              <w:t>0</w:t>
            </w:r>
            <w:r>
              <w:rPr>
                <w:rFonts w:ascii="宋体" w:hAnsi="宋体" w:cs="Times New Roman"/>
                <w:b/>
                <w:color w:val="auto"/>
                <w:szCs w:val="18"/>
              </w:rPr>
              <w:t>2</w:t>
            </w:r>
          </w:p>
        </w:tc>
        <w:tc>
          <w:tcPr>
            <w:tcW w:w="3784" w:type="pct"/>
            <w:vAlign w:val="center"/>
          </w:tcPr>
          <w:p>
            <w:pPr>
              <w:spacing w:line="360" w:lineRule="auto"/>
              <w:ind w:firstLine="210" w:firstLineChars="100"/>
              <w:rPr>
                <w:rFonts w:ascii="宋体" w:hAnsi="宋体" w:cs="Times New Roman"/>
                <w:color w:val="auto"/>
                <w:sz w:val="16"/>
                <w:szCs w:val="18"/>
              </w:rPr>
            </w:pPr>
            <w:r>
              <w:rPr>
                <w:rFonts w:ascii="宋体" w:hAnsi="宋体" w:cs="Times New Roman"/>
                <w:color w:val="auto"/>
                <w:szCs w:val="18"/>
              </w:rPr>
              <w:t>A</w:t>
            </w:r>
            <w:r>
              <w:rPr>
                <w:rFonts w:hint="eastAsia" w:ascii="宋体" w:hAnsi="宋体" w:cs="Times New Roman"/>
                <w:color w:val="auto"/>
                <w:szCs w:val="18"/>
              </w:rPr>
              <w:t>、获校红旗团支部称号的班委成员</w:t>
            </w:r>
          </w:p>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B、获校优良学风班称号的班委成员</w:t>
            </w:r>
          </w:p>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C、被评为学校</w:t>
            </w:r>
            <w:r>
              <w:rPr>
                <w:rFonts w:ascii="宋体" w:hAnsi="宋体" w:cs="Times New Roman"/>
                <w:color w:val="auto"/>
                <w:szCs w:val="18"/>
              </w:rPr>
              <w:t>“</w:t>
            </w:r>
            <w:r>
              <w:rPr>
                <w:rFonts w:hint="eastAsia" w:ascii="宋体" w:hAnsi="宋体" w:cs="Times New Roman"/>
                <w:color w:val="auto"/>
                <w:szCs w:val="18"/>
              </w:rPr>
              <w:t>文明宿舍</w:t>
            </w:r>
            <w:r>
              <w:rPr>
                <w:rFonts w:ascii="宋体" w:hAnsi="宋体" w:cs="Times New Roman"/>
                <w:color w:val="auto"/>
                <w:szCs w:val="18"/>
              </w:rPr>
              <w:t>”</w:t>
            </w:r>
            <w:r>
              <w:rPr>
                <w:rFonts w:hint="eastAsia" w:ascii="宋体" w:hAnsi="宋体" w:cs="Times New Roman"/>
                <w:color w:val="auto"/>
                <w:szCs w:val="18"/>
              </w:rPr>
              <w:t>的宿舍全体成员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08" w:type="pct"/>
            <w:vMerge w:val="continue"/>
          </w:tcPr>
          <w:p>
            <w:pPr>
              <w:spacing w:line="360" w:lineRule="auto"/>
              <w:jc w:val="center"/>
              <w:rPr>
                <w:rFonts w:ascii="宋体" w:hAnsi="宋体" w:cs="Times New Roman"/>
                <w:b/>
                <w:color w:val="auto"/>
                <w:szCs w:val="18"/>
              </w:rPr>
            </w:pPr>
          </w:p>
        </w:tc>
        <w:tc>
          <w:tcPr>
            <w:tcW w:w="608" w:type="pct"/>
            <w:vAlign w:val="center"/>
          </w:tcPr>
          <w:p>
            <w:pPr>
              <w:spacing w:line="360" w:lineRule="auto"/>
              <w:jc w:val="center"/>
              <w:rPr>
                <w:rFonts w:ascii="宋体" w:hAnsi="宋体" w:cs="Times New Roman"/>
                <w:b/>
                <w:color w:val="auto"/>
                <w:szCs w:val="18"/>
              </w:rPr>
            </w:pPr>
            <w:r>
              <w:rPr>
                <w:rFonts w:ascii="宋体" w:hAnsi="宋体" w:cs="Times New Roman"/>
                <w:b/>
                <w:color w:val="auto"/>
                <w:szCs w:val="18"/>
              </w:rPr>
              <w:t>0.</w:t>
            </w:r>
            <w:r>
              <w:rPr>
                <w:rFonts w:hint="eastAsia" w:ascii="宋体" w:hAnsi="宋体" w:cs="Times New Roman"/>
                <w:b/>
                <w:color w:val="auto"/>
                <w:szCs w:val="18"/>
              </w:rPr>
              <w:t>0</w:t>
            </w:r>
            <w:r>
              <w:rPr>
                <w:rFonts w:ascii="宋体" w:hAnsi="宋体" w:cs="Times New Roman"/>
                <w:b/>
                <w:color w:val="auto"/>
                <w:szCs w:val="18"/>
              </w:rPr>
              <w:t>1</w:t>
            </w:r>
          </w:p>
        </w:tc>
        <w:tc>
          <w:tcPr>
            <w:tcW w:w="3784" w:type="pct"/>
            <w:vAlign w:val="center"/>
          </w:tcPr>
          <w:p>
            <w:pPr>
              <w:spacing w:line="360" w:lineRule="auto"/>
              <w:ind w:firstLine="210" w:firstLineChars="100"/>
              <w:rPr>
                <w:rFonts w:ascii="宋体" w:hAnsi="宋体" w:cs="Times New Roman"/>
                <w:color w:val="auto"/>
                <w:szCs w:val="18"/>
              </w:rPr>
            </w:pPr>
            <w:r>
              <w:rPr>
                <w:rFonts w:hint="eastAsia" w:ascii="宋体" w:hAnsi="宋体" w:cs="Times New Roman"/>
                <w:color w:val="auto"/>
                <w:szCs w:val="18"/>
              </w:rPr>
              <w:t>A、获校优秀社团称号社团成员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08" w:type="pct"/>
            <w:vMerge w:val="continue"/>
            <w:tcBorders>
              <w:bottom w:val="single" w:color="auto" w:sz="4" w:space="0"/>
            </w:tcBorders>
          </w:tcPr>
          <w:p>
            <w:pPr>
              <w:spacing w:line="360" w:lineRule="auto"/>
              <w:jc w:val="center"/>
              <w:rPr>
                <w:rFonts w:ascii="宋体" w:hAnsi="宋体" w:cs="Times New Roman"/>
                <w:b/>
                <w:color w:val="auto"/>
                <w:szCs w:val="18"/>
              </w:rPr>
            </w:pPr>
          </w:p>
        </w:tc>
        <w:tc>
          <w:tcPr>
            <w:tcW w:w="608" w:type="pct"/>
            <w:tcBorders>
              <w:bottom w:val="single" w:color="auto" w:sz="4" w:space="0"/>
            </w:tcBorders>
            <w:vAlign w:val="center"/>
          </w:tcPr>
          <w:p>
            <w:pPr>
              <w:spacing w:line="360" w:lineRule="auto"/>
              <w:jc w:val="center"/>
              <w:rPr>
                <w:rFonts w:ascii="宋体" w:hAnsi="宋体" w:cs="Times New Roman"/>
                <w:b/>
                <w:color w:val="auto"/>
                <w:szCs w:val="18"/>
              </w:rPr>
            </w:pPr>
            <w:r>
              <w:rPr>
                <w:rFonts w:hint="eastAsia" w:ascii="宋体" w:hAnsi="宋体" w:cs="Times New Roman"/>
                <w:b/>
                <w:color w:val="auto"/>
                <w:szCs w:val="18"/>
              </w:rPr>
              <w:t>说  明</w:t>
            </w:r>
          </w:p>
        </w:tc>
        <w:tc>
          <w:tcPr>
            <w:tcW w:w="3784" w:type="pct"/>
            <w:tcBorders>
              <w:bottom w:val="single" w:color="auto" w:sz="4" w:space="0"/>
            </w:tcBorders>
            <w:vAlign w:val="center"/>
          </w:tcPr>
          <w:p>
            <w:pPr>
              <w:spacing w:line="360" w:lineRule="auto"/>
              <w:ind w:firstLine="210" w:firstLineChars="100"/>
              <w:rPr>
                <w:rFonts w:ascii="宋体" w:hAnsi="宋体" w:cs="Times New Roman"/>
                <w:color w:val="auto"/>
                <w:szCs w:val="18"/>
              </w:rPr>
            </w:pPr>
            <w:r>
              <w:rPr>
                <w:rFonts w:ascii="宋体" w:hAnsi="宋体" w:cs="Times New Roman"/>
                <w:color w:val="auto"/>
                <w:szCs w:val="18"/>
              </w:rPr>
              <w:t>1.</w:t>
            </w:r>
            <w:r>
              <w:rPr>
                <w:rFonts w:hint="eastAsia" w:ascii="宋体" w:hAnsi="宋体" w:cs="Times New Roman"/>
                <w:color w:val="auto"/>
                <w:szCs w:val="18"/>
              </w:rPr>
              <w:t>不同档次的分数可累加</w:t>
            </w:r>
          </w:p>
        </w:tc>
      </w:tr>
    </w:tbl>
    <w:p>
      <w:pPr>
        <w:rPr>
          <w:color w:val="auto"/>
        </w:rPr>
      </w:pPr>
    </w:p>
    <w:p>
      <w:pPr>
        <w:rPr>
          <w:rFonts w:hint="eastAsia"/>
          <w:color w:val="auto"/>
        </w:rPr>
      </w:pPr>
      <w:r>
        <w:rPr>
          <w:rFonts w:hint="eastAsia"/>
          <w:color w:val="auto"/>
        </w:rPr>
        <w:br w:type="page"/>
      </w:r>
    </w:p>
    <w:p>
      <w:pPr>
        <w:pStyle w:val="2"/>
        <w:spacing w:before="156" w:after="156"/>
        <w:rPr>
          <w:color w:val="auto"/>
        </w:rPr>
      </w:pPr>
      <w:r>
        <w:rPr>
          <w:rFonts w:hint="eastAsia"/>
          <w:color w:val="auto"/>
        </w:rPr>
        <w:t>三、家国情怀</w:t>
      </w:r>
    </w:p>
    <w:p>
      <w:pPr>
        <w:pStyle w:val="3"/>
        <w:rPr>
          <w:color w:val="auto"/>
        </w:rPr>
      </w:pPr>
      <w:r>
        <w:rPr>
          <w:rFonts w:hint="eastAsia"/>
          <w:color w:val="auto"/>
        </w:rPr>
        <w:t>（一）爱国荣校</w:t>
      </w:r>
    </w:p>
    <w:tbl>
      <w:tblPr>
        <w:tblStyle w:val="12"/>
        <w:tblW w:w="5000" w:type="pct"/>
        <w:jc w:val="center"/>
        <w:tblLayout w:type="autofit"/>
        <w:tblCellMar>
          <w:top w:w="0" w:type="dxa"/>
          <w:left w:w="0" w:type="dxa"/>
          <w:bottom w:w="0" w:type="dxa"/>
          <w:right w:w="0" w:type="dxa"/>
        </w:tblCellMar>
      </w:tblPr>
      <w:tblGrid>
        <w:gridCol w:w="1292"/>
        <w:gridCol w:w="782"/>
        <w:gridCol w:w="7702"/>
      </w:tblGrid>
      <w:tr>
        <w:tblPrEx>
          <w:tblCellMar>
            <w:top w:w="0" w:type="dxa"/>
            <w:left w:w="0" w:type="dxa"/>
            <w:bottom w:w="0" w:type="dxa"/>
            <w:right w:w="0" w:type="dxa"/>
          </w:tblCellMar>
        </w:tblPrEx>
        <w:trPr>
          <w:trHeight w:val="270" w:hRule="atLeast"/>
          <w:jc w:val="center"/>
        </w:trPr>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auto"/>
                <w:szCs w:val="21"/>
              </w:rPr>
            </w:pPr>
            <w:r>
              <w:rPr>
                <w:rFonts w:hint="eastAsia" w:ascii="仿宋_GB2312" w:hAnsi="仿宋_GB2312" w:eastAsia="仿宋_GB2312" w:cs="仿宋_GB2312"/>
                <w:b/>
                <w:color w:val="auto"/>
                <w:kern w:val="0"/>
                <w:szCs w:val="21"/>
                <w:lang w:bidi="ar"/>
              </w:rPr>
              <w:t>指标性质</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auto"/>
                <w:szCs w:val="21"/>
              </w:rPr>
            </w:pPr>
            <w:r>
              <w:rPr>
                <w:rFonts w:hint="eastAsia" w:ascii="仿宋_GB2312" w:hAnsi="仿宋_GB2312" w:eastAsia="仿宋_GB2312" w:cs="仿宋_GB2312"/>
                <w:b/>
                <w:color w:val="auto"/>
                <w:kern w:val="0"/>
                <w:szCs w:val="21"/>
                <w:lang w:bidi="ar"/>
              </w:rPr>
              <w:t>分值</w:t>
            </w:r>
          </w:p>
        </w:tc>
        <w:tc>
          <w:tcPr>
            <w:tcW w:w="3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auto"/>
                <w:szCs w:val="21"/>
              </w:rPr>
            </w:pPr>
            <w:r>
              <w:rPr>
                <w:rFonts w:hint="eastAsia" w:ascii="仿宋_GB2312" w:hAnsi="仿宋_GB2312" w:eastAsia="仿宋_GB2312" w:cs="仿宋_GB2312"/>
                <w:b/>
                <w:color w:val="auto"/>
                <w:kern w:val="0"/>
                <w:szCs w:val="21"/>
                <w:lang w:bidi="ar"/>
              </w:rPr>
              <w:t>达标标准</w:t>
            </w:r>
          </w:p>
        </w:tc>
      </w:tr>
      <w:tr>
        <w:tblPrEx>
          <w:tblCellMar>
            <w:top w:w="0" w:type="dxa"/>
            <w:left w:w="0" w:type="dxa"/>
            <w:bottom w:w="0" w:type="dxa"/>
            <w:right w:w="0" w:type="dxa"/>
          </w:tblCellMar>
        </w:tblPrEx>
        <w:trPr>
          <w:trHeight w:val="454" w:hRule="atLeast"/>
          <w:jc w:val="center"/>
        </w:trPr>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仿宋_GB2312"/>
                <w:b/>
                <w:bCs/>
                <w:color w:val="auto"/>
                <w:szCs w:val="18"/>
              </w:rPr>
            </w:pPr>
            <w:r>
              <w:rPr>
                <w:rFonts w:hint="eastAsia" w:ascii="宋体" w:hAnsi="宋体" w:cs="仿宋_GB2312"/>
                <w:b/>
                <w:bCs/>
                <w:color w:val="auto"/>
                <w:kern w:val="0"/>
                <w:szCs w:val="18"/>
                <w:lang w:bidi="ar"/>
              </w:rPr>
              <w:t>必达</w:t>
            </w:r>
          </w:p>
        </w:tc>
        <w:tc>
          <w:tcPr>
            <w:tcW w:w="40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仿宋_GB2312"/>
                <w:color w:val="auto"/>
                <w:szCs w:val="18"/>
              </w:rPr>
            </w:pPr>
            <w:r>
              <w:rPr>
                <w:rFonts w:hint="eastAsia" w:ascii="宋体" w:hAnsi="宋体" w:cs="仿宋_GB2312"/>
                <w:color w:val="auto"/>
                <w:szCs w:val="18"/>
              </w:rPr>
              <w:t>/</w:t>
            </w:r>
          </w:p>
        </w:tc>
        <w:tc>
          <w:tcPr>
            <w:tcW w:w="3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仿宋_GB2312"/>
                <w:color w:val="auto"/>
                <w:szCs w:val="18"/>
              </w:rPr>
            </w:pPr>
            <w:r>
              <w:rPr>
                <w:rFonts w:hint="eastAsia" w:ascii="宋体" w:hAnsi="宋体" w:cs="仿宋_GB2312"/>
                <w:color w:val="auto"/>
                <w:kern w:val="0"/>
                <w:szCs w:val="18"/>
                <w:lang w:bidi="ar"/>
              </w:rPr>
              <w:t>忠于国家利益。</w:t>
            </w:r>
          </w:p>
        </w:tc>
      </w:tr>
      <w:tr>
        <w:tblPrEx>
          <w:tblCellMar>
            <w:top w:w="0" w:type="dxa"/>
            <w:left w:w="0" w:type="dxa"/>
            <w:bottom w:w="0" w:type="dxa"/>
            <w:right w:w="0" w:type="dxa"/>
          </w:tblCellMar>
        </w:tblPrEx>
        <w:trPr>
          <w:trHeight w:val="478" w:hRule="atLeast"/>
          <w:jc w:val="center"/>
        </w:trPr>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仿宋_GB2312"/>
                <w:color w:val="auto"/>
                <w:szCs w:val="18"/>
              </w:rPr>
            </w:pPr>
          </w:p>
        </w:tc>
        <w:tc>
          <w:tcPr>
            <w:tcW w:w="40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仿宋_GB2312"/>
                <w:color w:val="auto"/>
                <w:szCs w:val="18"/>
              </w:rPr>
            </w:pPr>
          </w:p>
        </w:tc>
        <w:tc>
          <w:tcPr>
            <w:tcW w:w="3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仿宋_GB2312"/>
                <w:color w:val="auto"/>
                <w:szCs w:val="18"/>
              </w:rPr>
            </w:pPr>
            <w:r>
              <w:rPr>
                <w:rFonts w:hint="eastAsia" w:ascii="宋体" w:hAnsi="宋体" w:cs="仿宋_GB2312"/>
                <w:color w:val="auto"/>
                <w:kern w:val="0"/>
                <w:szCs w:val="18"/>
                <w:lang w:bidi="ar"/>
              </w:rPr>
              <w:t>爱护学校荣誉。</w:t>
            </w:r>
          </w:p>
        </w:tc>
      </w:tr>
    </w:tbl>
    <w:p>
      <w:pPr>
        <w:pStyle w:val="3"/>
        <w:rPr>
          <w:color w:val="auto"/>
        </w:rPr>
      </w:pPr>
      <w:r>
        <w:rPr>
          <w:rFonts w:hint="eastAsia"/>
          <w:color w:val="auto"/>
        </w:rPr>
        <w:t>（二）劳动素养</w:t>
      </w:r>
    </w:p>
    <w:p>
      <w:pPr>
        <w:pStyle w:val="4"/>
        <w:rPr>
          <w:rFonts w:ascii="宋体" w:hAnsi="宋体" w:eastAsia="宋体" w:cs="仿宋_GB2312"/>
          <w:color w:val="auto"/>
          <w:kern w:val="0"/>
          <w:sz w:val="20"/>
          <w:szCs w:val="20"/>
          <w:lang w:bidi="ar"/>
        </w:rPr>
      </w:pPr>
      <w:r>
        <w:rPr>
          <w:rFonts w:hint="eastAsia" w:ascii="宋体" w:hAnsi="宋体" w:eastAsia="宋体" w:cs="仿宋_GB2312"/>
          <w:color w:val="auto"/>
          <w:kern w:val="0"/>
          <w:sz w:val="20"/>
          <w:szCs w:val="20"/>
          <w:lang w:bidi="ar"/>
        </w:rPr>
        <w:t>（1）志愿服务与社会实践</w:t>
      </w:r>
    </w:p>
    <w:tbl>
      <w:tblPr>
        <w:tblStyle w:val="12"/>
        <w:tblW w:w="5000" w:type="pct"/>
        <w:jc w:val="center"/>
        <w:tblLayout w:type="autofit"/>
        <w:tblCellMar>
          <w:top w:w="0" w:type="dxa"/>
          <w:left w:w="0" w:type="dxa"/>
          <w:bottom w:w="0" w:type="dxa"/>
          <w:right w:w="0" w:type="dxa"/>
        </w:tblCellMar>
      </w:tblPr>
      <w:tblGrid>
        <w:gridCol w:w="1325"/>
        <w:gridCol w:w="802"/>
        <w:gridCol w:w="7649"/>
      </w:tblGrid>
      <w:tr>
        <w:tblPrEx>
          <w:tblCellMar>
            <w:top w:w="0" w:type="dxa"/>
            <w:left w:w="0" w:type="dxa"/>
            <w:bottom w:w="0" w:type="dxa"/>
            <w:right w:w="0" w:type="dxa"/>
          </w:tblCellMar>
        </w:tblPrEx>
        <w:trPr>
          <w:trHeight w:val="270" w:hRule="atLeast"/>
          <w:jc w:val="center"/>
        </w:trPr>
        <w:tc>
          <w:tcPr>
            <w:tcW w:w="6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仿宋_GB2312"/>
                <w:b/>
                <w:color w:val="auto"/>
                <w:szCs w:val="18"/>
              </w:rPr>
            </w:pPr>
            <w:r>
              <w:rPr>
                <w:rFonts w:hint="eastAsia" w:ascii="宋体" w:hAnsi="宋体" w:cs="仿宋_GB2312"/>
                <w:b/>
                <w:color w:val="auto"/>
                <w:kern w:val="0"/>
                <w:szCs w:val="18"/>
                <w:lang w:bidi="ar"/>
              </w:rPr>
              <w:t>指标性质</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仿宋_GB2312"/>
                <w:b/>
                <w:color w:val="auto"/>
                <w:szCs w:val="18"/>
              </w:rPr>
            </w:pPr>
            <w:r>
              <w:rPr>
                <w:rFonts w:hint="eastAsia" w:ascii="宋体" w:hAnsi="宋体" w:cs="仿宋_GB2312"/>
                <w:b/>
                <w:color w:val="auto"/>
                <w:kern w:val="0"/>
                <w:szCs w:val="18"/>
                <w:lang w:bidi="ar"/>
              </w:rPr>
              <w:t>分值</w:t>
            </w:r>
          </w:p>
        </w:tc>
        <w:tc>
          <w:tcPr>
            <w:tcW w:w="3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仿宋_GB2312"/>
                <w:b/>
                <w:color w:val="auto"/>
                <w:szCs w:val="18"/>
              </w:rPr>
            </w:pPr>
            <w:r>
              <w:rPr>
                <w:rFonts w:hint="eastAsia" w:ascii="宋体" w:hAnsi="宋体" w:cs="仿宋_GB2312"/>
                <w:b/>
                <w:color w:val="auto"/>
                <w:kern w:val="0"/>
                <w:szCs w:val="18"/>
                <w:lang w:bidi="ar"/>
              </w:rPr>
              <w:t>达标标准（示例）</w:t>
            </w:r>
          </w:p>
        </w:tc>
      </w:tr>
      <w:tr>
        <w:tblPrEx>
          <w:tblCellMar>
            <w:top w:w="0" w:type="dxa"/>
            <w:left w:w="0" w:type="dxa"/>
            <w:bottom w:w="0" w:type="dxa"/>
            <w:right w:w="0" w:type="dxa"/>
          </w:tblCellMar>
        </w:tblPrEx>
        <w:trPr>
          <w:trHeight w:val="936" w:hRule="atLeast"/>
          <w:jc w:val="center"/>
        </w:trPr>
        <w:tc>
          <w:tcPr>
            <w:tcW w:w="678"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仿宋_GB2312"/>
                <w:b/>
                <w:bCs/>
                <w:color w:val="auto"/>
                <w:kern w:val="0"/>
                <w:szCs w:val="18"/>
                <w:lang w:bidi="ar"/>
              </w:rPr>
            </w:pPr>
            <w:r>
              <w:rPr>
                <w:rFonts w:hint="eastAsia" w:ascii="宋体" w:hAnsi="宋体" w:cs="仿宋_GB2312"/>
                <w:b/>
                <w:bCs/>
                <w:color w:val="auto"/>
                <w:kern w:val="0"/>
                <w:szCs w:val="18"/>
                <w:lang w:bidi="ar"/>
              </w:rPr>
              <w:t>必达</w:t>
            </w:r>
          </w:p>
        </w:tc>
        <w:tc>
          <w:tcPr>
            <w:tcW w:w="410"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仿宋_GB2312"/>
                <w:color w:val="auto"/>
                <w:szCs w:val="18"/>
              </w:rPr>
            </w:pPr>
            <w:r>
              <w:rPr>
                <w:rFonts w:ascii="宋体" w:hAnsi="宋体" w:cs="仿宋_GB2312"/>
                <w:color w:val="auto"/>
                <w:szCs w:val="18"/>
              </w:rPr>
              <w:t>/</w:t>
            </w:r>
          </w:p>
        </w:tc>
        <w:tc>
          <w:tcPr>
            <w:tcW w:w="3912"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仿宋_GB2312"/>
                <w:color w:val="auto"/>
                <w:szCs w:val="18"/>
              </w:rPr>
            </w:pPr>
            <w:r>
              <w:rPr>
                <w:rFonts w:hint="eastAsia" w:ascii="宋体" w:hAnsi="宋体"/>
                <w:color w:val="auto"/>
                <w:szCs w:val="18"/>
              </w:rPr>
              <w:t>每年有不少于15</w:t>
            </w:r>
            <w:r>
              <w:rPr>
                <w:rFonts w:ascii="宋体" w:hAnsi="宋体"/>
                <w:color w:val="auto"/>
                <w:szCs w:val="18"/>
              </w:rPr>
              <w:t>小时的公益活动经历</w:t>
            </w:r>
            <w:r>
              <w:rPr>
                <w:rFonts w:hint="eastAsia" w:ascii="宋体" w:hAnsi="宋体"/>
                <w:color w:val="auto"/>
                <w:szCs w:val="18"/>
              </w:rPr>
              <w:t>；</w:t>
            </w:r>
            <w:r>
              <w:rPr>
                <w:rFonts w:ascii="宋体" w:hAnsi="宋体"/>
                <w:color w:val="auto"/>
                <w:szCs w:val="18"/>
              </w:rPr>
              <w:t>因公益表现突出获得校级以上表彰或者奖励（不含校内职能部门）可以免除</w:t>
            </w:r>
            <w:r>
              <w:rPr>
                <w:rFonts w:hint="eastAsia" w:ascii="宋体" w:hAnsi="宋体"/>
                <w:color w:val="auto"/>
                <w:szCs w:val="18"/>
              </w:rPr>
              <w:t>15</w:t>
            </w:r>
            <w:r>
              <w:rPr>
                <w:rFonts w:ascii="宋体" w:hAnsi="宋体"/>
                <w:color w:val="auto"/>
                <w:szCs w:val="18"/>
              </w:rPr>
              <w:t>个小时公益时数</w:t>
            </w:r>
            <w:r>
              <w:rPr>
                <w:rFonts w:hint="eastAsia" w:ascii="宋体" w:hAnsi="宋体"/>
                <w:color w:val="auto"/>
                <w:szCs w:val="18"/>
              </w:rPr>
              <w:t>。</w:t>
            </w:r>
          </w:p>
        </w:tc>
      </w:tr>
      <w:tr>
        <w:tblPrEx>
          <w:tblCellMar>
            <w:top w:w="0" w:type="dxa"/>
            <w:left w:w="0" w:type="dxa"/>
            <w:bottom w:w="0" w:type="dxa"/>
            <w:right w:w="0" w:type="dxa"/>
          </w:tblCellMar>
        </w:tblPrEx>
        <w:trPr>
          <w:trHeight w:val="454" w:hRule="atLeast"/>
          <w:jc w:val="center"/>
        </w:trPr>
        <w:tc>
          <w:tcPr>
            <w:tcW w:w="67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仿宋_GB2312"/>
                <w:b/>
                <w:bCs/>
                <w:color w:val="auto"/>
                <w:szCs w:val="18"/>
              </w:rPr>
            </w:pPr>
            <w:r>
              <w:rPr>
                <w:rFonts w:hint="eastAsia" w:ascii="宋体" w:hAnsi="宋体" w:cs="仿宋_GB2312"/>
                <w:b/>
                <w:bCs/>
                <w:color w:val="auto"/>
                <w:kern w:val="0"/>
                <w:szCs w:val="18"/>
                <w:lang w:bidi="ar"/>
              </w:rPr>
              <w:t>选达</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b/>
                <w:color w:val="auto"/>
                <w:szCs w:val="18"/>
              </w:rPr>
            </w:pPr>
            <w:r>
              <w:rPr>
                <w:rFonts w:hint="eastAsia" w:ascii="宋体" w:hAnsi="宋体"/>
                <w:b/>
                <w:color w:val="auto"/>
                <w:szCs w:val="18"/>
              </w:rPr>
              <w:t>0</w:t>
            </w:r>
            <w:r>
              <w:rPr>
                <w:rFonts w:ascii="宋体" w:hAnsi="宋体"/>
                <w:b/>
                <w:color w:val="auto"/>
                <w:szCs w:val="18"/>
              </w:rPr>
              <w:t>.08</w:t>
            </w:r>
            <w:r>
              <w:rPr>
                <w:rFonts w:hint="eastAsia" w:ascii="宋体" w:hAnsi="宋体"/>
                <w:b/>
                <w:color w:val="auto"/>
                <w:szCs w:val="18"/>
              </w:rPr>
              <w:t>-</w:t>
            </w:r>
            <w:r>
              <w:rPr>
                <w:rFonts w:ascii="宋体" w:hAnsi="宋体"/>
                <w:b/>
                <w:color w:val="auto"/>
                <w:szCs w:val="18"/>
              </w:rPr>
              <w:t>0</w:t>
            </w:r>
          </w:p>
        </w:tc>
        <w:tc>
          <w:tcPr>
            <w:tcW w:w="3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仿宋_GB2312"/>
                <w:color w:val="auto"/>
                <w:szCs w:val="18"/>
              </w:rPr>
            </w:pPr>
            <w:r>
              <w:rPr>
                <w:rFonts w:hint="eastAsia" w:ascii="宋体" w:hAnsi="宋体" w:cs="仿宋_GB2312"/>
                <w:color w:val="auto"/>
                <w:kern w:val="0"/>
                <w:szCs w:val="18"/>
                <w:lang w:bidi="ar"/>
              </w:rPr>
              <w:t>积极参与、组织策划公益活动及社会服务（如“三下乡”、支教或夏（冬）令营等）。</w:t>
            </w:r>
          </w:p>
        </w:tc>
      </w:tr>
      <w:tr>
        <w:tblPrEx>
          <w:tblCellMar>
            <w:top w:w="0" w:type="dxa"/>
            <w:left w:w="0" w:type="dxa"/>
            <w:bottom w:w="0" w:type="dxa"/>
            <w:right w:w="0" w:type="dxa"/>
          </w:tblCellMar>
        </w:tblPrEx>
        <w:trPr>
          <w:trHeight w:val="454" w:hRule="atLeast"/>
          <w:jc w:val="center"/>
        </w:trPr>
        <w:tc>
          <w:tcPr>
            <w:tcW w:w="678"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仿宋_GB2312"/>
                <w:color w:val="auto"/>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仿宋_GB2312"/>
                <w:b/>
                <w:bCs/>
                <w:color w:val="auto"/>
                <w:szCs w:val="18"/>
              </w:rPr>
            </w:pPr>
            <w:r>
              <w:rPr>
                <w:rFonts w:hint="eastAsia" w:ascii="宋体" w:hAnsi="宋体" w:cs="仿宋_GB2312"/>
                <w:b/>
                <w:bCs/>
                <w:color w:val="auto"/>
                <w:szCs w:val="18"/>
              </w:rPr>
              <w:t>0</w:t>
            </w:r>
            <w:r>
              <w:rPr>
                <w:rFonts w:ascii="宋体" w:hAnsi="宋体" w:cs="仿宋_GB2312"/>
                <w:b/>
                <w:bCs/>
                <w:color w:val="auto"/>
                <w:szCs w:val="18"/>
              </w:rPr>
              <w:t>.02</w:t>
            </w:r>
            <w:r>
              <w:rPr>
                <w:rFonts w:hint="eastAsia" w:ascii="宋体" w:hAnsi="宋体" w:cs="仿宋_GB2312"/>
                <w:b/>
                <w:bCs/>
                <w:color w:val="auto"/>
                <w:szCs w:val="18"/>
              </w:rPr>
              <w:t>-</w:t>
            </w:r>
            <w:r>
              <w:rPr>
                <w:rFonts w:ascii="宋体" w:hAnsi="宋体" w:cs="仿宋_GB2312"/>
                <w:b/>
                <w:bCs/>
                <w:color w:val="auto"/>
                <w:szCs w:val="18"/>
              </w:rPr>
              <w:t>0</w:t>
            </w:r>
          </w:p>
        </w:tc>
        <w:tc>
          <w:tcPr>
            <w:tcW w:w="3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仿宋_GB2312"/>
                <w:color w:val="auto"/>
                <w:kern w:val="0"/>
                <w:szCs w:val="18"/>
                <w:lang w:bidi="ar"/>
              </w:rPr>
            </w:pPr>
            <w:r>
              <w:rPr>
                <w:rFonts w:hint="eastAsia" w:ascii="宋体" w:hAnsi="宋体" w:cs="仿宋_GB2312"/>
                <w:color w:val="auto"/>
                <w:kern w:val="0"/>
                <w:szCs w:val="18"/>
                <w:lang w:bidi="ar"/>
              </w:rPr>
              <w:t>在志愿服务、社会实践或专业实训中取得突出成绩或表现优秀。</w:t>
            </w:r>
          </w:p>
        </w:tc>
      </w:tr>
      <w:tr>
        <w:tblPrEx>
          <w:tblCellMar>
            <w:top w:w="0" w:type="dxa"/>
            <w:left w:w="0" w:type="dxa"/>
            <w:bottom w:w="0" w:type="dxa"/>
            <w:right w:w="0" w:type="dxa"/>
          </w:tblCellMar>
        </w:tblPrEx>
        <w:trPr>
          <w:trHeight w:val="454" w:hRule="atLeast"/>
          <w:jc w:val="center"/>
        </w:trPr>
        <w:tc>
          <w:tcPr>
            <w:tcW w:w="6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仿宋_GB2312"/>
                <w:color w:val="auto"/>
                <w:szCs w:val="18"/>
              </w:rPr>
            </w:pPr>
            <w:r>
              <w:rPr>
                <w:rFonts w:hint="eastAsia" w:ascii="宋体" w:hAnsi="宋体" w:cs="仿宋_GB2312"/>
                <w:color w:val="auto"/>
                <w:szCs w:val="18"/>
              </w:rPr>
              <w:t>说明</w:t>
            </w:r>
          </w:p>
        </w:tc>
        <w:tc>
          <w:tcPr>
            <w:tcW w:w="4322" w:type="pct"/>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仿宋_GB2312"/>
                <w:color w:val="auto"/>
                <w:kern w:val="0"/>
                <w:szCs w:val="18"/>
                <w:lang w:bidi="ar"/>
              </w:rPr>
            </w:pPr>
            <w:r>
              <w:rPr>
                <w:rFonts w:hint="eastAsia" w:ascii="宋体" w:hAnsi="宋体" w:cs="仿宋_GB2312"/>
                <w:color w:val="auto"/>
                <w:kern w:val="0"/>
                <w:szCs w:val="18"/>
                <w:lang w:bidi="ar"/>
              </w:rPr>
              <w:t>1.</w:t>
            </w:r>
            <w:r>
              <w:rPr>
                <w:rFonts w:ascii="宋体" w:hAnsi="宋体" w:cs="仿宋_GB2312"/>
                <w:color w:val="auto"/>
                <w:kern w:val="0"/>
                <w:szCs w:val="18"/>
                <w:lang w:bidi="ar"/>
              </w:rPr>
              <w:t xml:space="preserve"> </w:t>
            </w:r>
            <w:r>
              <w:rPr>
                <w:rFonts w:hint="eastAsia" w:ascii="宋体" w:hAnsi="宋体" w:cs="仿宋_GB2312"/>
                <w:color w:val="auto"/>
                <w:kern w:val="0"/>
                <w:szCs w:val="18"/>
                <w:lang w:bidi="ar"/>
              </w:rPr>
              <w:t>参与或策划公益活动及社会服务的分值需在年级评议会上商定，由年级评议小组根据申请人参评情况（活动内容，工作量，质量和效果）给出分值，报学院资助小组审核。</w:t>
            </w:r>
            <w:r>
              <w:rPr>
                <w:rFonts w:ascii="宋体" w:hAnsi="宋体" w:cs="仿宋_GB2312"/>
                <w:color w:val="auto"/>
                <w:kern w:val="0"/>
                <w:szCs w:val="18"/>
                <w:lang w:bidi="ar"/>
              </w:rPr>
              <w:t xml:space="preserve"> </w:t>
            </w:r>
          </w:p>
          <w:p>
            <w:pPr>
              <w:widowControl/>
              <w:jc w:val="left"/>
              <w:textAlignment w:val="center"/>
              <w:rPr>
                <w:rFonts w:ascii="宋体" w:hAnsi="宋体" w:cs="仿宋_GB2312"/>
                <w:color w:val="auto"/>
                <w:kern w:val="0"/>
                <w:szCs w:val="18"/>
                <w:lang w:bidi="ar"/>
              </w:rPr>
            </w:pPr>
            <w:r>
              <w:rPr>
                <w:rFonts w:hint="eastAsia" w:ascii="宋体" w:hAnsi="宋体" w:cs="仿宋_GB2312"/>
                <w:color w:val="auto"/>
                <w:kern w:val="0"/>
                <w:szCs w:val="18"/>
                <w:lang w:bidi="ar"/>
              </w:rPr>
              <w:t>2</w:t>
            </w:r>
            <w:r>
              <w:rPr>
                <w:rFonts w:ascii="宋体" w:hAnsi="宋体" w:cs="仿宋_GB2312"/>
                <w:color w:val="auto"/>
                <w:kern w:val="0"/>
                <w:szCs w:val="18"/>
                <w:lang w:bidi="ar"/>
              </w:rPr>
              <w:t xml:space="preserve">. </w:t>
            </w:r>
            <w:r>
              <w:rPr>
                <w:rFonts w:hint="eastAsia" w:ascii="宋体" w:hAnsi="宋体" w:cs="仿宋_GB2312"/>
                <w:color w:val="auto"/>
                <w:kern w:val="0"/>
                <w:szCs w:val="18"/>
                <w:lang w:bidi="ar"/>
              </w:rPr>
              <w:t>“在志愿服务、社会实践或专业实训中取得突出成绩或表现优秀”加分项的评分程序同上。</w:t>
            </w:r>
          </w:p>
        </w:tc>
      </w:tr>
    </w:tbl>
    <w:p>
      <w:pPr>
        <w:pStyle w:val="4"/>
        <w:rPr>
          <w:rFonts w:ascii="宋体" w:hAnsi="宋体" w:eastAsia="宋体" w:cs="仿宋_GB2312"/>
          <w:color w:val="auto"/>
          <w:kern w:val="0"/>
          <w:sz w:val="20"/>
          <w:szCs w:val="20"/>
          <w:lang w:bidi="ar"/>
        </w:rPr>
      </w:pPr>
      <w:r>
        <w:rPr>
          <w:rFonts w:hint="eastAsia" w:ascii="宋体" w:hAnsi="宋体" w:eastAsia="宋体" w:cs="仿宋_GB2312"/>
          <w:color w:val="auto"/>
          <w:kern w:val="0"/>
          <w:sz w:val="20"/>
          <w:szCs w:val="20"/>
          <w:lang w:bidi="ar"/>
        </w:rPr>
        <w:t>（2）服务集体（根据述职或评议确认是否达标）</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41"/>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23" w:type="pct"/>
            <w:vAlign w:val="center"/>
          </w:tcPr>
          <w:p>
            <w:pPr>
              <w:spacing w:line="360" w:lineRule="auto"/>
              <w:jc w:val="center"/>
              <w:rPr>
                <w:rFonts w:ascii="宋体" w:hAnsi="宋体"/>
                <w:b/>
                <w:color w:val="auto"/>
                <w:szCs w:val="18"/>
              </w:rPr>
            </w:pPr>
            <w:r>
              <w:rPr>
                <w:rFonts w:hint="eastAsia" w:ascii="宋体" w:hAnsi="宋体" w:cs="仿宋_GB2312"/>
                <w:b/>
                <w:color w:val="auto"/>
                <w:kern w:val="0"/>
                <w:szCs w:val="18"/>
                <w:lang w:bidi="ar"/>
              </w:rPr>
              <w:t>指标性质</w:t>
            </w:r>
          </w:p>
        </w:tc>
        <w:tc>
          <w:tcPr>
            <w:tcW w:w="623" w:type="pct"/>
            <w:vAlign w:val="center"/>
          </w:tcPr>
          <w:p>
            <w:pPr>
              <w:spacing w:line="360" w:lineRule="auto"/>
              <w:jc w:val="center"/>
              <w:rPr>
                <w:rFonts w:ascii="宋体" w:hAnsi="宋体"/>
                <w:b/>
                <w:color w:val="auto"/>
                <w:szCs w:val="18"/>
              </w:rPr>
            </w:pPr>
            <w:r>
              <w:rPr>
                <w:rFonts w:hint="eastAsia" w:ascii="宋体" w:hAnsi="宋体" w:cs="仿宋_GB2312"/>
                <w:b/>
                <w:color w:val="auto"/>
                <w:kern w:val="0"/>
                <w:szCs w:val="18"/>
                <w:lang w:bidi="ar"/>
              </w:rPr>
              <w:t>加分</w:t>
            </w:r>
          </w:p>
        </w:tc>
        <w:tc>
          <w:tcPr>
            <w:tcW w:w="3754" w:type="pct"/>
            <w:vAlign w:val="center"/>
          </w:tcPr>
          <w:p>
            <w:pPr>
              <w:spacing w:line="360" w:lineRule="auto"/>
              <w:jc w:val="center"/>
              <w:rPr>
                <w:rFonts w:ascii="宋体" w:hAnsi="宋体"/>
                <w:b/>
                <w:color w:val="auto"/>
                <w:szCs w:val="18"/>
              </w:rPr>
            </w:pPr>
            <w:r>
              <w:rPr>
                <w:rFonts w:hint="eastAsia" w:ascii="宋体" w:hAnsi="宋体"/>
                <w:b/>
                <w:color w:val="auto"/>
                <w:szCs w:val="18"/>
              </w:rPr>
              <w:t>加     分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23" w:type="pct"/>
            <w:vMerge w:val="restart"/>
            <w:vAlign w:val="center"/>
          </w:tcPr>
          <w:p>
            <w:pPr>
              <w:spacing w:line="360" w:lineRule="auto"/>
              <w:jc w:val="center"/>
              <w:rPr>
                <w:rFonts w:ascii="宋体" w:hAnsi="宋体"/>
                <w:b/>
                <w:color w:val="auto"/>
                <w:szCs w:val="18"/>
              </w:rPr>
            </w:pPr>
            <w:r>
              <w:rPr>
                <w:rFonts w:hint="eastAsia" w:ascii="宋体" w:hAnsi="宋体"/>
                <w:b/>
                <w:color w:val="auto"/>
                <w:szCs w:val="18"/>
              </w:rPr>
              <w:t>选达</w:t>
            </w:r>
          </w:p>
        </w:tc>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0.2</w:t>
            </w:r>
          </w:p>
        </w:tc>
        <w:tc>
          <w:tcPr>
            <w:tcW w:w="3754" w:type="pct"/>
            <w:vAlign w:val="center"/>
          </w:tcPr>
          <w:p>
            <w:pPr>
              <w:numPr>
                <w:ilvl w:val="0"/>
                <w:numId w:val="6"/>
              </w:numPr>
              <w:spacing w:line="360" w:lineRule="auto"/>
              <w:rPr>
                <w:rFonts w:ascii="宋体" w:hAnsi="宋体"/>
                <w:color w:val="auto"/>
                <w:szCs w:val="18"/>
              </w:rPr>
            </w:pPr>
            <w:r>
              <w:rPr>
                <w:rFonts w:hint="eastAsia" w:ascii="宋体" w:hAnsi="宋体"/>
                <w:color w:val="auto"/>
                <w:szCs w:val="18"/>
              </w:rPr>
              <w:t>学校学生会主席</w:t>
            </w:r>
          </w:p>
          <w:p>
            <w:pPr>
              <w:numPr>
                <w:ilvl w:val="0"/>
                <w:numId w:val="6"/>
              </w:numPr>
              <w:spacing w:line="360" w:lineRule="auto"/>
              <w:rPr>
                <w:rFonts w:ascii="宋体" w:hAnsi="宋体"/>
                <w:color w:val="auto"/>
                <w:szCs w:val="18"/>
              </w:rPr>
            </w:pPr>
            <w:r>
              <w:rPr>
                <w:rFonts w:hint="eastAsia" w:ascii="宋体" w:hAnsi="宋体"/>
                <w:color w:val="auto"/>
                <w:szCs w:val="18"/>
              </w:rPr>
              <w:t>校团委兼职副书记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23" w:type="pct"/>
            <w:vMerge w:val="continue"/>
            <w:vAlign w:val="center"/>
          </w:tcPr>
          <w:p>
            <w:pPr>
              <w:spacing w:line="360" w:lineRule="auto"/>
              <w:jc w:val="center"/>
              <w:rPr>
                <w:rFonts w:ascii="宋体" w:hAnsi="宋体"/>
                <w:b/>
                <w:color w:val="auto"/>
                <w:szCs w:val="18"/>
              </w:rPr>
            </w:pPr>
          </w:p>
        </w:tc>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0.17</w:t>
            </w:r>
          </w:p>
        </w:tc>
        <w:tc>
          <w:tcPr>
            <w:tcW w:w="3754" w:type="pct"/>
            <w:vAlign w:val="center"/>
          </w:tcPr>
          <w:p>
            <w:pPr>
              <w:numPr>
                <w:ilvl w:val="0"/>
                <w:numId w:val="7"/>
              </w:numPr>
              <w:spacing w:line="360" w:lineRule="auto"/>
              <w:rPr>
                <w:rFonts w:ascii="宋体" w:hAnsi="宋体"/>
                <w:color w:val="auto"/>
                <w:szCs w:val="18"/>
              </w:rPr>
            </w:pPr>
            <w:r>
              <w:rPr>
                <w:rFonts w:hint="eastAsia" w:ascii="宋体" w:hAnsi="宋体"/>
                <w:color w:val="auto"/>
                <w:szCs w:val="18"/>
              </w:rPr>
              <w:t>学校学生会副主席；</w:t>
            </w:r>
          </w:p>
          <w:p>
            <w:pPr>
              <w:numPr>
                <w:ilvl w:val="0"/>
                <w:numId w:val="7"/>
              </w:numPr>
              <w:spacing w:line="360" w:lineRule="auto"/>
              <w:rPr>
                <w:rFonts w:ascii="宋体" w:hAnsi="宋体"/>
                <w:color w:val="auto"/>
                <w:szCs w:val="18"/>
              </w:rPr>
            </w:pPr>
            <w:r>
              <w:rPr>
                <w:rFonts w:hint="eastAsia" w:ascii="宋体" w:hAnsi="宋体"/>
                <w:color w:val="auto"/>
                <w:szCs w:val="18"/>
              </w:rPr>
              <w:t>院团委兼职副书记、学生会主席、促进学社社长；</w:t>
            </w:r>
          </w:p>
          <w:p>
            <w:pPr>
              <w:numPr>
                <w:ilvl w:val="0"/>
                <w:numId w:val="7"/>
              </w:numPr>
              <w:spacing w:line="360" w:lineRule="auto"/>
              <w:rPr>
                <w:rFonts w:ascii="宋体" w:hAnsi="宋体"/>
                <w:color w:val="auto"/>
                <w:szCs w:val="18"/>
              </w:rPr>
            </w:pPr>
            <w:r>
              <w:rPr>
                <w:rFonts w:hint="eastAsia" w:ascii="宋体" w:hAnsi="宋体"/>
                <w:color w:val="auto"/>
                <w:szCs w:val="18"/>
              </w:rPr>
              <w:t>助理辅导员</w:t>
            </w:r>
          </w:p>
          <w:p>
            <w:pPr>
              <w:numPr>
                <w:ilvl w:val="0"/>
                <w:numId w:val="7"/>
              </w:numPr>
              <w:spacing w:line="360" w:lineRule="auto"/>
              <w:rPr>
                <w:rFonts w:ascii="宋体" w:hAnsi="宋体"/>
                <w:color w:val="auto"/>
                <w:szCs w:val="18"/>
              </w:rPr>
            </w:pPr>
            <w:r>
              <w:rPr>
                <w:rFonts w:hint="eastAsia" w:ascii="宋体" w:hAnsi="宋体"/>
                <w:color w:val="auto"/>
                <w:szCs w:val="18"/>
              </w:rPr>
              <w:t>党支部书记</w:t>
            </w:r>
          </w:p>
          <w:p>
            <w:pPr>
              <w:pStyle w:val="18"/>
              <w:numPr>
                <w:ilvl w:val="0"/>
                <w:numId w:val="7"/>
              </w:numPr>
              <w:ind w:firstLineChars="0"/>
              <w:rPr>
                <w:rFonts w:ascii="宋体" w:hAnsi="宋体"/>
                <w:color w:val="auto"/>
                <w:szCs w:val="18"/>
              </w:rPr>
            </w:pPr>
            <w:r>
              <w:rPr>
                <w:rFonts w:hint="eastAsia" w:ascii="宋体" w:hAnsi="宋体"/>
                <w:color w:val="auto"/>
                <w:szCs w:val="18"/>
              </w:rPr>
              <w:t>学院新闻中心社长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exact"/>
        </w:trPr>
        <w:tc>
          <w:tcPr>
            <w:tcW w:w="623" w:type="pct"/>
            <w:vMerge w:val="continue"/>
            <w:vAlign w:val="center"/>
          </w:tcPr>
          <w:p>
            <w:pPr>
              <w:spacing w:line="360" w:lineRule="auto"/>
              <w:jc w:val="center"/>
              <w:rPr>
                <w:rFonts w:ascii="宋体" w:hAnsi="宋体"/>
                <w:b/>
                <w:color w:val="auto"/>
                <w:szCs w:val="18"/>
              </w:rPr>
            </w:pPr>
          </w:p>
        </w:tc>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0.15</w:t>
            </w:r>
          </w:p>
        </w:tc>
        <w:tc>
          <w:tcPr>
            <w:tcW w:w="3754" w:type="pct"/>
            <w:vAlign w:val="center"/>
          </w:tcPr>
          <w:p>
            <w:pPr>
              <w:numPr>
                <w:ilvl w:val="0"/>
                <w:numId w:val="8"/>
              </w:numPr>
              <w:spacing w:line="360" w:lineRule="auto"/>
              <w:rPr>
                <w:rFonts w:ascii="宋体" w:hAnsi="宋体"/>
                <w:color w:val="auto"/>
                <w:szCs w:val="18"/>
              </w:rPr>
            </w:pPr>
            <w:r>
              <w:rPr>
                <w:rFonts w:hint="eastAsia" w:ascii="宋体" w:hAnsi="宋体"/>
                <w:color w:val="auto"/>
                <w:szCs w:val="18"/>
              </w:rPr>
              <w:t>校团委、学生会部长；</w:t>
            </w:r>
          </w:p>
          <w:p>
            <w:pPr>
              <w:numPr>
                <w:ilvl w:val="0"/>
                <w:numId w:val="8"/>
              </w:numPr>
              <w:spacing w:line="360" w:lineRule="auto"/>
              <w:rPr>
                <w:rFonts w:ascii="宋体" w:hAnsi="宋体"/>
                <w:color w:val="auto"/>
                <w:szCs w:val="18"/>
              </w:rPr>
            </w:pPr>
            <w:r>
              <w:rPr>
                <w:rFonts w:hint="eastAsia" w:ascii="宋体" w:hAnsi="宋体"/>
                <w:color w:val="auto"/>
                <w:szCs w:val="18"/>
              </w:rPr>
              <w:t>院团委常委（不包括兼职副书记）、学生会副主席、促进学社副社长；</w:t>
            </w:r>
          </w:p>
          <w:p>
            <w:pPr>
              <w:numPr>
                <w:ilvl w:val="0"/>
                <w:numId w:val="8"/>
              </w:numPr>
              <w:spacing w:line="360" w:lineRule="auto"/>
              <w:rPr>
                <w:rFonts w:ascii="宋体" w:hAnsi="宋体"/>
                <w:color w:val="auto"/>
                <w:szCs w:val="18"/>
              </w:rPr>
            </w:pPr>
            <w:r>
              <w:rPr>
                <w:rFonts w:hint="eastAsia" w:ascii="宋体" w:hAnsi="宋体"/>
                <w:color w:val="auto"/>
                <w:szCs w:val="18"/>
              </w:rPr>
              <w:t>学院校友工作小组组长</w:t>
            </w:r>
          </w:p>
          <w:p>
            <w:pPr>
              <w:numPr>
                <w:ilvl w:val="0"/>
                <w:numId w:val="8"/>
              </w:numPr>
              <w:spacing w:line="360" w:lineRule="auto"/>
              <w:rPr>
                <w:rFonts w:ascii="宋体" w:hAnsi="宋体"/>
                <w:color w:val="auto"/>
                <w:szCs w:val="18"/>
              </w:rPr>
            </w:pPr>
            <w:r>
              <w:rPr>
                <w:rFonts w:hint="eastAsia" w:ascii="宋体" w:hAnsi="宋体"/>
                <w:color w:val="auto"/>
                <w:szCs w:val="18"/>
              </w:rPr>
              <w:t>年级长</w:t>
            </w:r>
          </w:p>
          <w:p>
            <w:pPr>
              <w:numPr>
                <w:ilvl w:val="0"/>
                <w:numId w:val="8"/>
              </w:numPr>
              <w:spacing w:line="360" w:lineRule="auto"/>
              <w:rPr>
                <w:rFonts w:ascii="宋体" w:hAnsi="宋体"/>
                <w:color w:val="auto"/>
                <w:szCs w:val="18"/>
              </w:rPr>
            </w:pPr>
            <w:r>
              <w:rPr>
                <w:rFonts w:hint="eastAsia" w:ascii="宋体" w:hAnsi="宋体"/>
                <w:color w:val="auto"/>
                <w:szCs w:val="18"/>
              </w:rPr>
              <w:t>党支部委员</w:t>
            </w:r>
          </w:p>
          <w:p>
            <w:pPr>
              <w:numPr>
                <w:ilvl w:val="0"/>
                <w:numId w:val="8"/>
              </w:numPr>
              <w:spacing w:line="360" w:lineRule="auto"/>
              <w:rPr>
                <w:rFonts w:ascii="宋体" w:hAnsi="宋体"/>
                <w:color w:val="auto"/>
                <w:szCs w:val="18"/>
              </w:rPr>
            </w:pPr>
            <w:r>
              <w:rPr>
                <w:rFonts w:hint="eastAsia" w:ascii="宋体" w:hAnsi="宋体"/>
                <w:color w:val="auto"/>
                <w:szCs w:val="18"/>
              </w:rPr>
              <w:t>宿舍委员长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623" w:type="pct"/>
            <w:vMerge w:val="continue"/>
            <w:vAlign w:val="center"/>
          </w:tcPr>
          <w:p>
            <w:pPr>
              <w:spacing w:line="360" w:lineRule="auto"/>
              <w:jc w:val="center"/>
              <w:rPr>
                <w:rFonts w:ascii="宋体" w:hAnsi="宋体"/>
                <w:b/>
                <w:color w:val="auto"/>
                <w:szCs w:val="18"/>
              </w:rPr>
            </w:pPr>
          </w:p>
        </w:tc>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0.12</w:t>
            </w:r>
          </w:p>
        </w:tc>
        <w:tc>
          <w:tcPr>
            <w:tcW w:w="3754" w:type="pct"/>
            <w:vAlign w:val="center"/>
          </w:tcPr>
          <w:p>
            <w:pPr>
              <w:numPr>
                <w:ilvl w:val="0"/>
                <w:numId w:val="9"/>
              </w:numPr>
              <w:spacing w:line="360" w:lineRule="auto"/>
              <w:rPr>
                <w:rFonts w:ascii="宋体" w:hAnsi="宋体"/>
                <w:color w:val="auto"/>
                <w:szCs w:val="18"/>
              </w:rPr>
            </w:pPr>
            <w:r>
              <w:rPr>
                <w:rFonts w:hint="eastAsia" w:ascii="宋体" w:hAnsi="宋体"/>
                <w:color w:val="auto"/>
                <w:szCs w:val="18"/>
              </w:rPr>
              <w:t>校团委、学生会副部长；</w:t>
            </w:r>
          </w:p>
          <w:p>
            <w:pPr>
              <w:numPr>
                <w:ilvl w:val="0"/>
                <w:numId w:val="9"/>
              </w:numPr>
              <w:spacing w:line="360" w:lineRule="auto"/>
              <w:rPr>
                <w:rFonts w:ascii="宋体" w:hAnsi="宋体"/>
                <w:color w:val="auto"/>
                <w:szCs w:val="18"/>
              </w:rPr>
            </w:pPr>
            <w:r>
              <w:rPr>
                <w:rFonts w:hint="eastAsia" w:ascii="宋体" w:hAnsi="宋体"/>
                <w:color w:val="auto"/>
                <w:szCs w:val="18"/>
              </w:rPr>
              <w:t>经批准成立的学校社团总负责人</w:t>
            </w:r>
          </w:p>
          <w:p>
            <w:pPr>
              <w:numPr>
                <w:ilvl w:val="0"/>
                <w:numId w:val="9"/>
              </w:numPr>
              <w:spacing w:line="360" w:lineRule="auto"/>
              <w:rPr>
                <w:rFonts w:ascii="宋体" w:hAnsi="宋体"/>
                <w:color w:val="auto"/>
                <w:szCs w:val="18"/>
              </w:rPr>
            </w:pPr>
            <w:r>
              <w:rPr>
                <w:rFonts w:hint="eastAsia" w:ascii="宋体" w:hAnsi="宋体"/>
                <w:color w:val="auto"/>
                <w:szCs w:val="18"/>
              </w:rPr>
              <w:t>《校报》、《中大青年》主编</w:t>
            </w:r>
          </w:p>
          <w:p>
            <w:pPr>
              <w:numPr>
                <w:ilvl w:val="0"/>
                <w:numId w:val="9"/>
              </w:numPr>
              <w:spacing w:line="360" w:lineRule="auto"/>
              <w:rPr>
                <w:rFonts w:ascii="宋体" w:hAnsi="宋体"/>
                <w:color w:val="auto"/>
                <w:szCs w:val="18"/>
              </w:rPr>
            </w:pPr>
            <w:r>
              <w:rPr>
                <w:rFonts w:hint="eastAsia" w:ascii="宋体" w:hAnsi="宋体"/>
                <w:color w:val="auto"/>
                <w:szCs w:val="18"/>
              </w:rPr>
              <w:t>院团委、学生会、促进学社部长</w:t>
            </w:r>
          </w:p>
          <w:p>
            <w:pPr>
              <w:numPr>
                <w:ilvl w:val="0"/>
                <w:numId w:val="9"/>
              </w:numPr>
              <w:spacing w:line="360" w:lineRule="auto"/>
              <w:rPr>
                <w:rFonts w:ascii="宋体" w:hAnsi="宋体"/>
                <w:color w:val="auto"/>
                <w:szCs w:val="18"/>
              </w:rPr>
            </w:pPr>
            <w:r>
              <w:rPr>
                <w:rFonts w:hint="eastAsia" w:ascii="宋体" w:hAnsi="宋体"/>
                <w:color w:val="auto"/>
                <w:szCs w:val="18"/>
              </w:rPr>
              <w:t>班长、团支部书记</w:t>
            </w:r>
          </w:p>
          <w:p>
            <w:pPr>
              <w:numPr>
                <w:ilvl w:val="0"/>
                <w:numId w:val="9"/>
              </w:numPr>
              <w:spacing w:line="360" w:lineRule="auto"/>
              <w:rPr>
                <w:rFonts w:ascii="宋体" w:hAnsi="宋体"/>
                <w:color w:val="auto"/>
                <w:szCs w:val="18"/>
              </w:rPr>
            </w:pPr>
            <w:r>
              <w:rPr>
                <w:rFonts w:hint="eastAsia" w:ascii="宋体" w:hAnsi="宋体"/>
                <w:color w:val="auto"/>
                <w:szCs w:val="18"/>
              </w:rPr>
              <w:t>学院新闻中心部长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623" w:type="pct"/>
            <w:vMerge w:val="continue"/>
            <w:vAlign w:val="center"/>
          </w:tcPr>
          <w:p>
            <w:pPr>
              <w:spacing w:line="360" w:lineRule="auto"/>
              <w:jc w:val="center"/>
              <w:rPr>
                <w:rFonts w:ascii="宋体" w:hAnsi="宋体"/>
                <w:b/>
                <w:color w:val="auto"/>
                <w:szCs w:val="18"/>
              </w:rPr>
            </w:pPr>
          </w:p>
        </w:tc>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0.1</w:t>
            </w:r>
          </w:p>
        </w:tc>
        <w:tc>
          <w:tcPr>
            <w:tcW w:w="3754" w:type="pct"/>
            <w:vAlign w:val="center"/>
          </w:tcPr>
          <w:p>
            <w:pPr>
              <w:numPr>
                <w:ilvl w:val="0"/>
                <w:numId w:val="10"/>
              </w:numPr>
              <w:spacing w:line="360" w:lineRule="auto"/>
              <w:rPr>
                <w:rFonts w:ascii="宋体" w:hAnsi="宋体"/>
                <w:color w:val="auto"/>
                <w:szCs w:val="18"/>
              </w:rPr>
            </w:pPr>
            <w:r>
              <w:rPr>
                <w:rFonts w:hint="eastAsia" w:ascii="宋体" w:hAnsi="宋体"/>
                <w:color w:val="auto"/>
                <w:szCs w:val="18"/>
              </w:rPr>
              <w:t>校团委委员或学生会委员</w:t>
            </w:r>
          </w:p>
          <w:p>
            <w:pPr>
              <w:numPr>
                <w:ilvl w:val="0"/>
                <w:numId w:val="10"/>
              </w:numPr>
              <w:spacing w:line="360" w:lineRule="auto"/>
              <w:rPr>
                <w:rFonts w:ascii="宋体" w:hAnsi="宋体"/>
                <w:color w:val="auto"/>
                <w:szCs w:val="18"/>
              </w:rPr>
            </w:pPr>
            <w:r>
              <w:rPr>
                <w:rFonts w:hint="eastAsia" w:ascii="宋体" w:hAnsi="宋体"/>
                <w:color w:val="auto"/>
                <w:szCs w:val="18"/>
              </w:rPr>
              <w:t>经批准成立的学校社团副会长或副主席</w:t>
            </w:r>
          </w:p>
          <w:p>
            <w:pPr>
              <w:numPr>
                <w:ilvl w:val="0"/>
                <w:numId w:val="10"/>
              </w:numPr>
              <w:spacing w:line="360" w:lineRule="auto"/>
              <w:rPr>
                <w:rFonts w:ascii="宋体" w:hAnsi="宋体"/>
                <w:color w:val="auto"/>
                <w:szCs w:val="18"/>
              </w:rPr>
            </w:pPr>
            <w:r>
              <w:rPr>
                <w:rFonts w:hint="eastAsia" w:ascii="宋体" w:hAnsi="宋体"/>
                <w:color w:val="auto"/>
                <w:szCs w:val="18"/>
              </w:rPr>
              <w:t>院团委、学生会、促进学社副部长</w:t>
            </w:r>
          </w:p>
          <w:p>
            <w:pPr>
              <w:numPr>
                <w:ilvl w:val="0"/>
                <w:numId w:val="10"/>
              </w:numPr>
              <w:spacing w:line="360" w:lineRule="auto"/>
              <w:rPr>
                <w:rFonts w:ascii="宋体" w:hAnsi="宋体"/>
                <w:color w:val="auto"/>
                <w:szCs w:val="18"/>
              </w:rPr>
            </w:pPr>
            <w:r>
              <w:rPr>
                <w:rFonts w:hint="eastAsia" w:ascii="宋体" w:hAnsi="宋体"/>
                <w:color w:val="auto"/>
                <w:szCs w:val="18"/>
              </w:rPr>
              <w:t>学院校友工作小组组员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23" w:type="pct"/>
            <w:vMerge w:val="continue"/>
            <w:vAlign w:val="center"/>
          </w:tcPr>
          <w:p>
            <w:pPr>
              <w:spacing w:line="360" w:lineRule="auto"/>
              <w:jc w:val="center"/>
              <w:rPr>
                <w:rFonts w:ascii="宋体" w:hAnsi="宋体"/>
                <w:b/>
                <w:color w:val="auto"/>
                <w:szCs w:val="18"/>
              </w:rPr>
            </w:pPr>
          </w:p>
        </w:tc>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0.07</w:t>
            </w:r>
          </w:p>
        </w:tc>
        <w:tc>
          <w:tcPr>
            <w:tcW w:w="3754" w:type="pct"/>
            <w:vAlign w:val="center"/>
          </w:tcPr>
          <w:p>
            <w:pPr>
              <w:numPr>
                <w:ilvl w:val="0"/>
                <w:numId w:val="11"/>
              </w:numPr>
              <w:spacing w:line="360" w:lineRule="auto"/>
              <w:rPr>
                <w:rFonts w:ascii="宋体" w:hAnsi="宋体"/>
                <w:color w:val="auto"/>
                <w:szCs w:val="18"/>
              </w:rPr>
            </w:pPr>
            <w:r>
              <w:rPr>
                <w:rFonts w:hint="eastAsia" w:ascii="宋体" w:hAnsi="宋体"/>
                <w:color w:val="auto"/>
                <w:szCs w:val="18"/>
              </w:rPr>
              <w:t>班委如</w:t>
            </w:r>
            <w:r>
              <w:rPr>
                <w:rFonts w:ascii="宋体" w:hAnsi="宋体"/>
                <w:color w:val="auto"/>
                <w:szCs w:val="18"/>
              </w:rPr>
              <w:t>副班长</w:t>
            </w:r>
            <w:r>
              <w:rPr>
                <w:rFonts w:hint="eastAsia" w:ascii="宋体" w:hAnsi="宋体"/>
                <w:color w:val="auto"/>
                <w:szCs w:val="18"/>
              </w:rPr>
              <w:t xml:space="preserve"> 、团支委</w:t>
            </w:r>
          </w:p>
          <w:p>
            <w:pPr>
              <w:numPr>
                <w:ilvl w:val="0"/>
                <w:numId w:val="11"/>
              </w:numPr>
              <w:spacing w:line="360" w:lineRule="auto"/>
              <w:rPr>
                <w:rFonts w:ascii="宋体" w:hAnsi="宋体"/>
                <w:color w:val="auto"/>
                <w:szCs w:val="18"/>
              </w:rPr>
            </w:pPr>
            <w:r>
              <w:rPr>
                <w:rFonts w:hint="eastAsia" w:ascii="宋体" w:hAnsi="宋体"/>
                <w:color w:val="auto"/>
                <w:szCs w:val="18"/>
              </w:rPr>
              <w:t>院各类体育队队长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23" w:type="pct"/>
            <w:vMerge w:val="continue"/>
            <w:vAlign w:val="center"/>
          </w:tcPr>
          <w:p>
            <w:pPr>
              <w:spacing w:line="360" w:lineRule="auto"/>
              <w:jc w:val="center"/>
              <w:rPr>
                <w:rFonts w:ascii="宋体" w:hAnsi="宋体"/>
                <w:b/>
                <w:color w:val="auto"/>
                <w:szCs w:val="18"/>
              </w:rPr>
            </w:pPr>
          </w:p>
        </w:tc>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0.05</w:t>
            </w:r>
          </w:p>
        </w:tc>
        <w:tc>
          <w:tcPr>
            <w:tcW w:w="3754" w:type="pct"/>
            <w:vAlign w:val="center"/>
          </w:tcPr>
          <w:p>
            <w:pPr>
              <w:numPr>
                <w:ilvl w:val="0"/>
                <w:numId w:val="12"/>
              </w:numPr>
              <w:spacing w:line="360" w:lineRule="auto"/>
              <w:rPr>
                <w:rFonts w:ascii="宋体" w:hAnsi="宋体"/>
                <w:color w:val="auto"/>
                <w:szCs w:val="18"/>
              </w:rPr>
            </w:pPr>
            <w:r>
              <w:rPr>
                <w:rFonts w:hint="eastAsia" w:ascii="宋体" w:hAnsi="宋体"/>
                <w:color w:val="auto"/>
                <w:szCs w:val="18"/>
              </w:rPr>
              <w:t>经批准成立的学校社团二级负责人（如各部部长等）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23" w:type="pct"/>
            <w:vMerge w:val="continue"/>
            <w:vAlign w:val="center"/>
          </w:tcPr>
          <w:p>
            <w:pPr>
              <w:spacing w:line="360" w:lineRule="auto"/>
              <w:jc w:val="center"/>
              <w:rPr>
                <w:rFonts w:ascii="宋体" w:hAnsi="宋体"/>
                <w:b/>
                <w:color w:val="auto"/>
                <w:szCs w:val="18"/>
              </w:rPr>
            </w:pPr>
          </w:p>
        </w:tc>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0.03</w:t>
            </w:r>
          </w:p>
        </w:tc>
        <w:tc>
          <w:tcPr>
            <w:tcW w:w="3754" w:type="pct"/>
            <w:vAlign w:val="center"/>
          </w:tcPr>
          <w:p>
            <w:pPr>
              <w:numPr>
                <w:ilvl w:val="0"/>
                <w:numId w:val="13"/>
              </w:numPr>
              <w:spacing w:line="360" w:lineRule="auto"/>
              <w:rPr>
                <w:rFonts w:ascii="宋体" w:hAnsi="宋体"/>
                <w:color w:val="auto"/>
                <w:szCs w:val="18"/>
              </w:rPr>
            </w:pPr>
            <w:r>
              <w:rPr>
                <w:rFonts w:hint="eastAsia" w:ascii="宋体" w:hAnsi="宋体"/>
                <w:color w:val="auto"/>
                <w:szCs w:val="18"/>
              </w:rPr>
              <w:t>校团委、学生会干事</w:t>
            </w:r>
          </w:p>
          <w:p>
            <w:pPr>
              <w:numPr>
                <w:ilvl w:val="0"/>
                <w:numId w:val="13"/>
              </w:numPr>
              <w:spacing w:line="360" w:lineRule="auto"/>
              <w:rPr>
                <w:rFonts w:ascii="宋体" w:hAnsi="宋体"/>
                <w:color w:val="auto"/>
                <w:szCs w:val="18"/>
              </w:rPr>
            </w:pPr>
            <w:r>
              <w:rPr>
                <w:rFonts w:hint="eastAsia" w:ascii="宋体" w:hAnsi="宋体"/>
                <w:color w:val="auto"/>
                <w:szCs w:val="18"/>
              </w:rPr>
              <w:t>团学联干事</w:t>
            </w:r>
          </w:p>
          <w:p>
            <w:pPr>
              <w:numPr>
                <w:ilvl w:val="0"/>
                <w:numId w:val="13"/>
              </w:numPr>
              <w:spacing w:line="360" w:lineRule="auto"/>
              <w:rPr>
                <w:rFonts w:ascii="宋体" w:hAnsi="宋体"/>
                <w:color w:val="auto"/>
                <w:szCs w:val="18"/>
              </w:rPr>
            </w:pPr>
            <w:r>
              <w:rPr>
                <w:rFonts w:hint="eastAsia" w:ascii="宋体" w:hAnsi="宋体"/>
                <w:color w:val="auto"/>
                <w:szCs w:val="18"/>
              </w:rPr>
              <w:t>学院新闻中心干事</w:t>
            </w:r>
          </w:p>
          <w:p>
            <w:pPr>
              <w:numPr>
                <w:ilvl w:val="0"/>
                <w:numId w:val="13"/>
              </w:numPr>
              <w:spacing w:line="360" w:lineRule="auto"/>
              <w:rPr>
                <w:rFonts w:ascii="宋体" w:hAnsi="宋体"/>
                <w:color w:val="auto"/>
                <w:szCs w:val="18"/>
              </w:rPr>
            </w:pPr>
            <w:r>
              <w:rPr>
                <w:rFonts w:hint="eastAsia" w:ascii="宋体" w:hAnsi="宋体"/>
                <w:color w:val="auto"/>
                <w:szCs w:val="18"/>
              </w:rPr>
              <w:t>经批准成立的学校社团各部副部长</w:t>
            </w:r>
          </w:p>
          <w:p>
            <w:pPr>
              <w:numPr>
                <w:ilvl w:val="0"/>
                <w:numId w:val="13"/>
              </w:numPr>
              <w:spacing w:line="360" w:lineRule="auto"/>
              <w:rPr>
                <w:rFonts w:ascii="宋体" w:hAnsi="宋体"/>
                <w:color w:val="auto"/>
                <w:szCs w:val="18"/>
              </w:rPr>
            </w:pPr>
            <w:r>
              <w:rPr>
                <w:rFonts w:hint="eastAsia" w:ascii="宋体" w:hAnsi="宋体"/>
                <w:color w:val="auto"/>
                <w:szCs w:val="18"/>
              </w:rPr>
              <w:t>促进学社干事</w:t>
            </w:r>
          </w:p>
          <w:p>
            <w:pPr>
              <w:numPr>
                <w:ilvl w:val="0"/>
                <w:numId w:val="13"/>
              </w:numPr>
              <w:spacing w:line="360" w:lineRule="auto"/>
              <w:rPr>
                <w:rFonts w:ascii="宋体" w:hAnsi="宋体"/>
                <w:color w:val="auto"/>
                <w:szCs w:val="18"/>
              </w:rPr>
            </w:pPr>
            <w:r>
              <w:rPr>
                <w:rFonts w:hint="eastAsia" w:ascii="宋体" w:hAnsi="宋体"/>
                <w:color w:val="auto"/>
                <w:szCs w:val="18"/>
              </w:rPr>
              <w:t>宿舍长</w:t>
            </w:r>
          </w:p>
          <w:p>
            <w:pPr>
              <w:numPr>
                <w:ilvl w:val="0"/>
                <w:numId w:val="13"/>
              </w:numPr>
              <w:spacing w:line="360" w:lineRule="auto"/>
              <w:rPr>
                <w:rFonts w:ascii="宋体" w:hAnsi="宋体"/>
                <w:color w:val="auto"/>
                <w:szCs w:val="18"/>
              </w:rPr>
            </w:pPr>
            <w:r>
              <w:rPr>
                <w:rFonts w:hint="eastAsia" w:ascii="宋体" w:hAnsi="宋体"/>
                <w:color w:val="auto"/>
                <w:szCs w:val="18"/>
              </w:rPr>
              <w:t>其它各类小组长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23" w:type="pct"/>
            <w:vMerge w:val="continue"/>
            <w:vAlign w:val="center"/>
          </w:tcPr>
          <w:p>
            <w:pPr>
              <w:spacing w:line="360" w:lineRule="auto"/>
              <w:jc w:val="center"/>
              <w:rPr>
                <w:rFonts w:ascii="宋体" w:hAnsi="宋体"/>
                <w:b/>
                <w:color w:val="auto"/>
                <w:szCs w:val="18"/>
              </w:rPr>
            </w:pPr>
          </w:p>
        </w:tc>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0.01</w:t>
            </w:r>
          </w:p>
        </w:tc>
        <w:tc>
          <w:tcPr>
            <w:tcW w:w="3754" w:type="pct"/>
            <w:vAlign w:val="center"/>
          </w:tcPr>
          <w:p>
            <w:pPr>
              <w:numPr>
                <w:ilvl w:val="0"/>
                <w:numId w:val="14"/>
              </w:numPr>
              <w:spacing w:line="360" w:lineRule="auto"/>
              <w:rPr>
                <w:rFonts w:ascii="宋体" w:hAnsi="宋体"/>
                <w:color w:val="auto"/>
                <w:szCs w:val="18"/>
              </w:rPr>
            </w:pPr>
            <w:r>
              <w:rPr>
                <w:rFonts w:hint="eastAsia" w:ascii="宋体" w:hAnsi="宋体"/>
                <w:color w:val="auto"/>
                <w:szCs w:val="18"/>
              </w:rPr>
              <w:t>班级活动积极分子（积极参与到班级工作的策划组织中）</w:t>
            </w:r>
          </w:p>
          <w:p>
            <w:pPr>
              <w:numPr>
                <w:ilvl w:val="0"/>
                <w:numId w:val="14"/>
              </w:numPr>
              <w:spacing w:line="360" w:lineRule="auto"/>
              <w:rPr>
                <w:rFonts w:ascii="宋体" w:hAnsi="宋体"/>
                <w:color w:val="auto"/>
                <w:szCs w:val="18"/>
              </w:rPr>
            </w:pPr>
            <w:r>
              <w:rPr>
                <w:rFonts w:hint="eastAsia" w:ascii="宋体" w:hAnsi="宋体"/>
                <w:color w:val="auto"/>
                <w:szCs w:val="18"/>
              </w:rPr>
              <w:t>社团干事</w:t>
            </w:r>
            <w:r>
              <w:rPr>
                <w:rFonts w:ascii="宋体" w:hAnsi="宋体"/>
                <w:color w:val="auto"/>
                <w:szCs w:val="18"/>
              </w:rPr>
              <w:t>(</w:t>
            </w:r>
            <w:r>
              <w:rPr>
                <w:rFonts w:hint="eastAsia" w:ascii="宋体" w:hAnsi="宋体"/>
                <w:color w:val="auto"/>
                <w:szCs w:val="18"/>
              </w:rPr>
              <w:t>需出具相关任职及工作量证明、有参加素拓计划的还需提供素拓证明</w:t>
            </w:r>
            <w:r>
              <w:rPr>
                <w:rFonts w:ascii="宋体" w:hAnsi="宋体"/>
                <w:color w:val="auto"/>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95" w:hRule="atLeast"/>
        </w:trPr>
        <w:tc>
          <w:tcPr>
            <w:tcW w:w="623" w:type="pct"/>
            <w:vAlign w:val="center"/>
          </w:tcPr>
          <w:p>
            <w:pPr>
              <w:spacing w:line="360" w:lineRule="auto"/>
              <w:jc w:val="center"/>
              <w:rPr>
                <w:rFonts w:ascii="宋体" w:hAnsi="宋体"/>
                <w:b/>
                <w:color w:val="auto"/>
                <w:szCs w:val="18"/>
              </w:rPr>
            </w:pPr>
            <w:r>
              <w:rPr>
                <w:rFonts w:hint="eastAsia" w:ascii="宋体" w:hAnsi="宋体"/>
                <w:b/>
                <w:color w:val="auto"/>
                <w:szCs w:val="18"/>
              </w:rPr>
              <w:t>说 明</w:t>
            </w:r>
          </w:p>
        </w:tc>
        <w:tc>
          <w:tcPr>
            <w:tcW w:w="4377" w:type="pct"/>
            <w:gridSpan w:val="2"/>
            <w:vAlign w:val="center"/>
          </w:tcPr>
          <w:p>
            <w:pPr>
              <w:spacing w:line="360" w:lineRule="auto"/>
              <w:ind w:left="210"/>
              <w:jc w:val="left"/>
              <w:rPr>
                <w:rFonts w:ascii="宋体" w:hAnsi="宋体"/>
                <w:color w:val="auto"/>
                <w:szCs w:val="18"/>
              </w:rPr>
            </w:pPr>
            <w:r>
              <w:rPr>
                <w:rFonts w:ascii="宋体" w:hAnsi="宋体"/>
                <w:color w:val="auto"/>
                <w:szCs w:val="18"/>
              </w:rPr>
              <w:t>1</w:t>
            </w:r>
            <w:r>
              <w:rPr>
                <w:rFonts w:hint="eastAsia" w:ascii="宋体" w:hAnsi="宋体"/>
                <w:color w:val="auto"/>
                <w:szCs w:val="18"/>
              </w:rPr>
              <w:t>．以上加分值为良好等级分数，</w:t>
            </w:r>
            <w:r>
              <w:rPr>
                <w:rFonts w:hint="eastAsia" w:ascii="宋体" w:hAnsi="宋体"/>
                <w:color w:val="auto"/>
                <w:szCs w:val="18"/>
              </w:rPr>
              <w:t>学生骨干加分分值需要根据述职评议结果来确定，分为优秀、良好、合格、不合格</w:t>
            </w:r>
            <w:r>
              <w:rPr>
                <w:rFonts w:ascii="宋体" w:hAnsi="宋体"/>
                <w:color w:val="auto"/>
                <w:szCs w:val="18"/>
              </w:rPr>
              <w:t>4个等级，各等级加分分值可以乘以系数：优秀：120%，良好：100%，合格：80%，不合格：0%。各级学生骨干优秀比例不得超过10%。</w:t>
            </w:r>
            <w:r>
              <w:rPr>
                <w:color w:val="auto"/>
              </w:rPr>
              <w:t>各级学生骨干述职评议具体细则参考附则《化学学院学生骨干述职评议细则》</w:t>
            </w:r>
          </w:p>
          <w:p>
            <w:pPr>
              <w:spacing w:line="360" w:lineRule="auto"/>
              <w:ind w:left="210"/>
              <w:jc w:val="left"/>
              <w:rPr>
                <w:rFonts w:ascii="宋体" w:hAnsi="宋体"/>
                <w:color w:val="auto"/>
                <w:szCs w:val="18"/>
              </w:rPr>
            </w:pPr>
            <w:r>
              <w:rPr>
                <w:rFonts w:ascii="宋体" w:hAnsi="宋体"/>
                <w:color w:val="auto"/>
                <w:szCs w:val="18"/>
              </w:rPr>
              <w:t>2</w:t>
            </w:r>
            <w:r>
              <w:rPr>
                <w:rFonts w:hint="eastAsia" w:ascii="宋体" w:hAnsi="宋体"/>
                <w:color w:val="auto"/>
                <w:szCs w:val="18"/>
              </w:rPr>
              <w:t>．兼任多项社会工作者，以最高职级计分，不累加。</w:t>
            </w:r>
          </w:p>
          <w:p>
            <w:pPr>
              <w:spacing w:line="360" w:lineRule="auto"/>
              <w:ind w:left="210"/>
              <w:jc w:val="left"/>
              <w:rPr>
                <w:rFonts w:ascii="宋体" w:hAnsi="宋体"/>
                <w:color w:val="auto"/>
                <w:szCs w:val="18"/>
              </w:rPr>
            </w:pPr>
            <w:r>
              <w:rPr>
                <w:rFonts w:ascii="宋体" w:hAnsi="宋体"/>
                <w:color w:val="auto"/>
                <w:szCs w:val="18"/>
              </w:rPr>
              <w:t>3</w:t>
            </w:r>
            <w:r>
              <w:rPr>
                <w:rFonts w:hint="eastAsia" w:ascii="宋体" w:hAnsi="宋体"/>
                <w:color w:val="auto"/>
                <w:szCs w:val="18"/>
              </w:rPr>
              <w:t>．干部任职时间少于任期的50%者最高可按照次低分值加分，任职时间为任期的50%-90%者最高可按照最高加分项的二分之一分值加分，任职时间为任期的90%以上最高可按以上加分值的全值加分。</w:t>
            </w:r>
          </w:p>
          <w:p>
            <w:pPr>
              <w:spacing w:line="360" w:lineRule="auto"/>
              <w:ind w:left="210"/>
              <w:jc w:val="left"/>
              <w:rPr>
                <w:rFonts w:ascii="宋体" w:hAnsi="宋体"/>
                <w:color w:val="auto"/>
                <w:szCs w:val="18"/>
              </w:rPr>
            </w:pPr>
            <w:r>
              <w:rPr>
                <w:rFonts w:ascii="宋体" w:hAnsi="宋体"/>
                <w:color w:val="auto"/>
                <w:szCs w:val="18"/>
              </w:rPr>
              <w:t>4</w:t>
            </w:r>
            <w:r>
              <w:rPr>
                <w:rFonts w:hint="eastAsia" w:ascii="宋体" w:hAnsi="宋体"/>
                <w:color w:val="auto"/>
                <w:szCs w:val="18"/>
              </w:rPr>
              <w:t>．校级团干部或学生会干部的考核成绩由校团委出具工作成绩证明。</w:t>
            </w:r>
          </w:p>
          <w:p>
            <w:pPr>
              <w:spacing w:line="360" w:lineRule="auto"/>
              <w:ind w:left="210"/>
              <w:jc w:val="left"/>
              <w:rPr>
                <w:rFonts w:ascii="宋体" w:hAnsi="宋体"/>
                <w:color w:val="auto"/>
                <w:szCs w:val="18"/>
              </w:rPr>
            </w:pPr>
            <w:r>
              <w:rPr>
                <w:rFonts w:ascii="宋体" w:hAnsi="宋体"/>
                <w:color w:val="auto"/>
                <w:szCs w:val="18"/>
              </w:rPr>
              <w:t>5</w:t>
            </w:r>
            <w:r>
              <w:rPr>
                <w:rFonts w:hint="eastAsia" w:ascii="宋体" w:hAnsi="宋体"/>
                <w:color w:val="auto"/>
                <w:szCs w:val="18"/>
              </w:rPr>
              <w:t>．校各类社团干部</w:t>
            </w:r>
            <w:r>
              <w:rPr>
                <w:rFonts w:ascii="宋体" w:hAnsi="宋体"/>
                <w:color w:val="auto"/>
                <w:szCs w:val="18"/>
              </w:rPr>
              <w:t>(</w:t>
            </w:r>
            <w:r>
              <w:rPr>
                <w:rFonts w:hint="eastAsia" w:ascii="宋体" w:hAnsi="宋体"/>
                <w:color w:val="auto"/>
                <w:szCs w:val="18"/>
              </w:rPr>
              <w:t>需出具相关任职及工作量证明、有参加素拓计划的还需提供素拓证明</w:t>
            </w:r>
            <w:r>
              <w:rPr>
                <w:rFonts w:ascii="宋体" w:hAnsi="宋体"/>
                <w:color w:val="auto"/>
                <w:szCs w:val="18"/>
              </w:rPr>
              <w:t>)</w:t>
            </w:r>
          </w:p>
          <w:p>
            <w:pPr>
              <w:spacing w:line="360" w:lineRule="auto"/>
              <w:ind w:left="210"/>
              <w:jc w:val="left"/>
              <w:rPr>
                <w:rFonts w:ascii="宋体" w:hAnsi="宋体"/>
                <w:color w:val="auto"/>
                <w:szCs w:val="18"/>
              </w:rPr>
            </w:pPr>
            <w:r>
              <w:rPr>
                <w:rFonts w:ascii="宋体" w:hAnsi="宋体"/>
                <w:color w:val="auto"/>
                <w:szCs w:val="18"/>
              </w:rPr>
              <w:t>6.</w:t>
            </w:r>
            <w:r>
              <w:rPr>
                <w:rFonts w:hint="eastAsia" w:ascii="宋体" w:hAnsi="宋体"/>
                <w:color w:val="auto"/>
                <w:szCs w:val="18"/>
              </w:rPr>
              <w:t>青马班、党章学习班等非行政班若设有班委，班委的加分值参考行政班班委的加分值，须由主办方出具工作成绩证明。</w:t>
            </w:r>
          </w:p>
        </w:tc>
      </w:tr>
    </w:tbl>
    <w:p>
      <w:pPr>
        <w:spacing w:line="360" w:lineRule="auto"/>
        <w:rPr>
          <w:color w:val="auto"/>
        </w:rPr>
      </w:pPr>
    </w:p>
    <w:p>
      <w:pPr>
        <w:ind w:right="624"/>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p>
      <w:pPr>
        <w:ind w:right="624" w:firstLine="645"/>
        <w:jc w:val="both"/>
        <w:rPr>
          <w:color w:val="auto"/>
          <w:szCs w:val="32"/>
        </w:rPr>
      </w:pPr>
    </w:p>
    <w:bookmarkEnd w:id="0"/>
    <w:bookmarkEnd w:id="1"/>
    <w:p>
      <w:pPr>
        <w:jc w:val="both"/>
        <w:rPr>
          <w:rFonts w:hint="eastAsia" w:ascii="仿宋" w:hAnsi="仿宋" w:eastAsia="仿宋" w:cs="Times New Roman"/>
          <w:color w:val="auto"/>
          <w:spacing w:val="14"/>
          <w:sz w:val="32"/>
          <w:szCs w:val="32"/>
        </w:rPr>
      </w:pPr>
    </w:p>
    <w:p>
      <w:pPr>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p>
    <w:p>
      <w:pPr>
        <w:snapToGrid w:val="0"/>
        <w:spacing w:line="520" w:lineRule="exact"/>
        <w:jc w:val="both"/>
        <w:rPr>
          <w:rFonts w:hint="eastAsia" w:ascii="仿宋_GB2312" w:hAnsi="宋体" w:eastAsia="仿宋_GB2312"/>
          <w:color w:val="auto"/>
          <w:sz w:val="32"/>
          <w:szCs w:val="32"/>
          <w:highlight w:val="none"/>
        </w:rPr>
      </w:pPr>
      <w:bookmarkStart w:id="3" w:name="_GoBack"/>
      <w:bookmarkEnd w:id="3"/>
    </w:p>
    <w:p>
      <w:pPr>
        <w:ind w:right="624" w:firstLine="645"/>
        <w:jc w:val="both"/>
        <w:rPr>
          <w:color w:val="auto"/>
          <w:szCs w:val="32"/>
        </w:rPr>
      </w:pPr>
    </w:p>
    <w:p>
      <w:pPr>
        <w:ind w:right="624" w:firstLine="645"/>
        <w:jc w:val="both"/>
        <w:rPr>
          <w:color w:val="auto"/>
          <w:szCs w:val="32"/>
        </w:rPr>
      </w:pPr>
    </w:p>
    <w:p>
      <w:pPr>
        <w:pBdr>
          <w:top w:val="single" w:color="auto" w:sz="4" w:space="0"/>
          <w:bottom w:val="single" w:color="auto" w:sz="4" w:space="1"/>
          <w:between w:val="single" w:color="auto" w:sz="4" w:space="1"/>
        </w:pBdr>
        <w:ind w:firstLine="320" w:firstLineChars="100"/>
        <w:jc w:val="both"/>
        <w:rPr>
          <w:rFonts w:ascii="仿宋_GB2312"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中山大学</w:t>
      </w:r>
      <w:r>
        <w:rPr>
          <w:rFonts w:hint="eastAsia" w:ascii="仿宋_GB2312" w:hAnsi="Times New Roman" w:eastAsia="仿宋_GB2312" w:cs="Times New Roman"/>
          <w:color w:val="auto"/>
          <w:kern w:val="0"/>
          <w:sz w:val="32"/>
          <w:szCs w:val="32"/>
        </w:rPr>
        <w:t>化学学院</w:t>
      </w:r>
      <w:r>
        <w:rPr>
          <w:rFonts w:ascii="仿宋_GB2312" w:hAnsi="Times New Roman" w:eastAsia="仿宋_GB2312" w:cs="Times New Roman"/>
          <w:color w:val="auto"/>
          <w:kern w:val="0"/>
          <w:sz w:val="32"/>
          <w:szCs w:val="32"/>
        </w:rPr>
        <w:t xml:space="preserve">  </w:t>
      </w:r>
      <w:r>
        <w:rPr>
          <w:rFonts w:hint="eastAsia" w:ascii="仿宋_GB2312" w:hAnsi="Times New Roman" w:eastAsia="仿宋_GB2312" w:cs="Times New Roman"/>
          <w:color w:val="auto"/>
          <w:kern w:val="0"/>
          <w:sz w:val="32"/>
          <w:szCs w:val="32"/>
        </w:rPr>
        <w:t xml:space="preserve">  </w:t>
      </w:r>
      <w:r>
        <w:rPr>
          <w:rFonts w:ascii="仿宋_GB2312" w:hAnsi="Times New Roman" w:eastAsia="仿宋_GB2312" w:cs="Times New Roman"/>
          <w:color w:val="auto"/>
          <w:kern w:val="0"/>
          <w:sz w:val="32"/>
          <w:szCs w:val="32"/>
        </w:rPr>
        <w:t xml:space="preserve">   </w:t>
      </w:r>
      <w:r>
        <w:rPr>
          <w:rFonts w:hint="eastAsia" w:ascii="仿宋_GB2312" w:hAnsi="Times New Roman" w:eastAsia="仿宋_GB2312" w:cs="Times New Roman"/>
          <w:color w:val="auto"/>
          <w:kern w:val="0"/>
          <w:sz w:val="32"/>
          <w:szCs w:val="32"/>
        </w:rPr>
        <w:t xml:space="preserve"> </w:t>
      </w:r>
      <w:r>
        <w:rPr>
          <w:rFonts w:ascii="仿宋_GB2312" w:hAnsi="Times New Roman" w:eastAsia="仿宋_GB2312" w:cs="Times New Roman"/>
          <w:color w:val="auto"/>
          <w:kern w:val="0"/>
          <w:sz w:val="32"/>
          <w:szCs w:val="32"/>
        </w:rPr>
        <w:t xml:space="preserve">     20</w:t>
      </w:r>
      <w:r>
        <w:rPr>
          <w:rFonts w:hint="eastAsia" w:ascii="仿宋_GB2312" w:hAnsi="Times New Roman" w:eastAsia="仿宋_GB2312" w:cs="Times New Roman"/>
          <w:color w:val="auto"/>
          <w:kern w:val="0"/>
          <w:sz w:val="32"/>
          <w:szCs w:val="32"/>
          <w:lang w:val="en-US" w:eastAsia="zh-CN"/>
        </w:rPr>
        <w:t>20</w:t>
      </w:r>
      <w:r>
        <w:rPr>
          <w:rFonts w:ascii="仿宋_GB2312" w:hAnsi="Times New Roman" w:eastAsia="仿宋_GB2312" w:cs="Times New Roman"/>
          <w:color w:val="auto"/>
          <w:kern w:val="0"/>
          <w:sz w:val="32"/>
          <w:szCs w:val="32"/>
        </w:rPr>
        <w:t>年</w:t>
      </w:r>
      <w:r>
        <w:rPr>
          <w:rFonts w:hint="eastAsia" w:ascii="仿宋_GB2312" w:hAnsi="Times New Roman" w:eastAsia="仿宋_GB2312" w:cs="Times New Roman"/>
          <w:color w:val="auto"/>
          <w:kern w:val="0"/>
          <w:sz w:val="32"/>
          <w:szCs w:val="32"/>
          <w:lang w:val="en-US" w:eastAsia="zh-CN"/>
        </w:rPr>
        <w:t>6</w:t>
      </w:r>
      <w:r>
        <w:rPr>
          <w:rFonts w:ascii="仿宋_GB2312" w:hAnsi="Times New Roman" w:eastAsia="仿宋_GB2312" w:cs="Times New Roman"/>
          <w:color w:val="auto"/>
          <w:kern w:val="0"/>
          <w:sz w:val="32"/>
          <w:szCs w:val="32"/>
        </w:rPr>
        <w:t>月</w:t>
      </w:r>
      <w:r>
        <w:rPr>
          <w:rFonts w:hint="eastAsia" w:ascii="仿宋_GB2312" w:hAnsi="Times New Roman" w:eastAsia="仿宋_GB2312" w:cs="Times New Roman"/>
          <w:color w:val="auto"/>
          <w:kern w:val="0"/>
          <w:sz w:val="32"/>
          <w:szCs w:val="32"/>
          <w:lang w:val="en-US" w:eastAsia="zh-CN"/>
        </w:rPr>
        <w:t>18</w:t>
      </w:r>
      <w:r>
        <w:rPr>
          <w:rFonts w:ascii="仿宋_GB2312" w:hAnsi="Times New Roman" w:eastAsia="仿宋_GB2312" w:cs="Times New Roman"/>
          <w:color w:val="auto"/>
          <w:kern w:val="0"/>
          <w:sz w:val="32"/>
          <w:szCs w:val="32"/>
        </w:rPr>
        <w:t>日印发</w:t>
      </w:r>
    </w:p>
    <w:p>
      <w:pPr>
        <w:snapToGrid w:val="0"/>
        <w:spacing w:line="520" w:lineRule="exact"/>
        <w:jc w:val="both"/>
        <w:rPr>
          <w:rFonts w:hint="eastAsia" w:ascii="仿宋_GB2312" w:hAnsi="宋体" w:eastAsia="仿宋_GB2312"/>
          <w:color w:val="auto"/>
          <w:sz w:val="32"/>
          <w:szCs w:val="32"/>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耀洄..">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251AE9"/>
    <w:multiLevelType w:val="multilevel"/>
    <w:tmpl w:val="FC251A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3B76BC"/>
    <w:multiLevelType w:val="multilevel"/>
    <w:tmpl w:val="083B76BC"/>
    <w:lvl w:ilvl="0" w:tentative="0">
      <w:start w:val="1"/>
      <w:numFmt w:val="upperLetter"/>
      <w:lvlText w:val="%1、"/>
      <w:lvlJc w:val="left"/>
      <w:pPr>
        <w:ind w:left="56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58282C"/>
    <w:multiLevelType w:val="multilevel"/>
    <w:tmpl w:val="1058282C"/>
    <w:lvl w:ilvl="0" w:tentative="0">
      <w:start w:val="1"/>
      <w:numFmt w:val="upperLetter"/>
      <w:lvlText w:val="%1、"/>
      <w:lvlJc w:val="left"/>
      <w:pPr>
        <w:ind w:left="56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98479E"/>
    <w:multiLevelType w:val="multilevel"/>
    <w:tmpl w:val="2298479E"/>
    <w:lvl w:ilvl="0" w:tentative="0">
      <w:start w:val="1"/>
      <w:numFmt w:val="upperLetter"/>
      <w:lvlText w:val="%1、"/>
      <w:lvlJc w:val="left"/>
      <w:pPr>
        <w:ind w:left="56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C33B91"/>
    <w:multiLevelType w:val="multilevel"/>
    <w:tmpl w:val="22C33B91"/>
    <w:lvl w:ilvl="0" w:tentative="0">
      <w:start w:val="1"/>
      <w:numFmt w:val="upperLetter"/>
      <w:lvlText w:val="%1、"/>
      <w:lvlJc w:val="left"/>
      <w:pPr>
        <w:ind w:left="56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0C20E8"/>
    <w:multiLevelType w:val="multilevel"/>
    <w:tmpl w:val="2F0C20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4C4FDE"/>
    <w:multiLevelType w:val="multilevel"/>
    <w:tmpl w:val="3D4C4FDE"/>
    <w:lvl w:ilvl="0" w:tentative="0">
      <w:start w:val="1"/>
      <w:numFmt w:val="upperLetter"/>
      <w:lvlText w:val="%1、"/>
      <w:lvlJc w:val="left"/>
      <w:pPr>
        <w:ind w:left="56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DE3CB3"/>
    <w:multiLevelType w:val="multilevel"/>
    <w:tmpl w:val="53DE3C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4DC1906"/>
    <w:multiLevelType w:val="multilevel"/>
    <w:tmpl w:val="64DC1906"/>
    <w:lvl w:ilvl="0" w:tentative="0">
      <w:start w:val="1"/>
      <w:numFmt w:val="upperLetter"/>
      <w:lvlText w:val="%1、"/>
      <w:lvlJc w:val="left"/>
      <w:pPr>
        <w:ind w:left="56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5F7D4D"/>
    <w:multiLevelType w:val="multilevel"/>
    <w:tmpl w:val="675F7D4D"/>
    <w:lvl w:ilvl="0" w:tentative="0">
      <w:start w:val="1"/>
      <w:numFmt w:val="upperLetter"/>
      <w:lvlText w:val="%1、"/>
      <w:lvlJc w:val="left"/>
      <w:pPr>
        <w:ind w:left="56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91064CE"/>
    <w:multiLevelType w:val="multilevel"/>
    <w:tmpl w:val="691064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425757"/>
    <w:multiLevelType w:val="multilevel"/>
    <w:tmpl w:val="7042575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4DD09FE"/>
    <w:multiLevelType w:val="multilevel"/>
    <w:tmpl w:val="74DD09FE"/>
    <w:lvl w:ilvl="0" w:tentative="0">
      <w:start w:val="1"/>
      <w:numFmt w:val="upperLetter"/>
      <w:lvlText w:val="%1、"/>
      <w:lvlJc w:val="left"/>
      <w:pPr>
        <w:ind w:left="627" w:hanging="42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13">
    <w:nsid w:val="77996DCB"/>
    <w:multiLevelType w:val="multilevel"/>
    <w:tmpl w:val="77996DCB"/>
    <w:lvl w:ilvl="0" w:tentative="0">
      <w:start w:val="1"/>
      <w:numFmt w:val="upperLetter"/>
      <w:lvlText w:val="%1、"/>
      <w:lvlJc w:val="left"/>
      <w:pPr>
        <w:ind w:left="627" w:hanging="42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num w:numId="1">
    <w:abstractNumId w:val="10"/>
  </w:num>
  <w:num w:numId="2">
    <w:abstractNumId w:val="5"/>
  </w:num>
  <w:num w:numId="3">
    <w:abstractNumId w:val="0"/>
  </w:num>
  <w:num w:numId="4">
    <w:abstractNumId w:val="7"/>
  </w:num>
  <w:num w:numId="5">
    <w:abstractNumId w:val="11"/>
  </w:num>
  <w:num w:numId="6">
    <w:abstractNumId w:val="4"/>
  </w:num>
  <w:num w:numId="7">
    <w:abstractNumId w:val="9"/>
  </w:num>
  <w:num w:numId="8">
    <w:abstractNumId w:val="3"/>
  </w:num>
  <w:num w:numId="9">
    <w:abstractNumId w:val="8"/>
  </w:num>
  <w:num w:numId="10">
    <w:abstractNumId w:val="13"/>
  </w:num>
  <w:num w:numId="11">
    <w:abstractNumId w:val="6"/>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71"/>
    <w:rsid w:val="00005427"/>
    <w:rsid w:val="00026777"/>
    <w:rsid w:val="0004124A"/>
    <w:rsid w:val="00044D61"/>
    <w:rsid w:val="00047FAB"/>
    <w:rsid w:val="00077135"/>
    <w:rsid w:val="0007744F"/>
    <w:rsid w:val="000B5672"/>
    <w:rsid w:val="000B5A43"/>
    <w:rsid w:val="000C232D"/>
    <w:rsid w:val="00105CD4"/>
    <w:rsid w:val="001222ED"/>
    <w:rsid w:val="00125899"/>
    <w:rsid w:val="0013182C"/>
    <w:rsid w:val="00136A02"/>
    <w:rsid w:val="00143F15"/>
    <w:rsid w:val="00170A3A"/>
    <w:rsid w:val="001863B9"/>
    <w:rsid w:val="0018743B"/>
    <w:rsid w:val="001B7F44"/>
    <w:rsid w:val="001C1D0E"/>
    <w:rsid w:val="001C26C4"/>
    <w:rsid w:val="001C561A"/>
    <w:rsid w:val="001E74CD"/>
    <w:rsid w:val="001F18A7"/>
    <w:rsid w:val="00204151"/>
    <w:rsid w:val="00213B3B"/>
    <w:rsid w:val="00215AD4"/>
    <w:rsid w:val="00217056"/>
    <w:rsid w:val="002427B4"/>
    <w:rsid w:val="002A3D5A"/>
    <w:rsid w:val="002A4AC9"/>
    <w:rsid w:val="002B13B0"/>
    <w:rsid w:val="002B71AE"/>
    <w:rsid w:val="002E6327"/>
    <w:rsid w:val="002F052E"/>
    <w:rsid w:val="002F2B5B"/>
    <w:rsid w:val="00305152"/>
    <w:rsid w:val="00311D49"/>
    <w:rsid w:val="00313077"/>
    <w:rsid w:val="00315E9A"/>
    <w:rsid w:val="003249BB"/>
    <w:rsid w:val="003335D2"/>
    <w:rsid w:val="00353255"/>
    <w:rsid w:val="00360266"/>
    <w:rsid w:val="003912AC"/>
    <w:rsid w:val="00395F2B"/>
    <w:rsid w:val="003C3587"/>
    <w:rsid w:val="003C5089"/>
    <w:rsid w:val="003D0ABF"/>
    <w:rsid w:val="003D2F6F"/>
    <w:rsid w:val="003E76FA"/>
    <w:rsid w:val="003F5A38"/>
    <w:rsid w:val="00420E2D"/>
    <w:rsid w:val="00437F2A"/>
    <w:rsid w:val="0044080A"/>
    <w:rsid w:val="00454D72"/>
    <w:rsid w:val="0046108C"/>
    <w:rsid w:val="00477E7B"/>
    <w:rsid w:val="004D0BBE"/>
    <w:rsid w:val="004E1573"/>
    <w:rsid w:val="004E567B"/>
    <w:rsid w:val="004E5BA0"/>
    <w:rsid w:val="004F17F8"/>
    <w:rsid w:val="00502F5B"/>
    <w:rsid w:val="005330FD"/>
    <w:rsid w:val="0054461C"/>
    <w:rsid w:val="005656F5"/>
    <w:rsid w:val="005978E0"/>
    <w:rsid w:val="005A1AE0"/>
    <w:rsid w:val="005C0DAD"/>
    <w:rsid w:val="005C4E29"/>
    <w:rsid w:val="005D31E7"/>
    <w:rsid w:val="005E3E81"/>
    <w:rsid w:val="005E5695"/>
    <w:rsid w:val="005E5AF0"/>
    <w:rsid w:val="005F5558"/>
    <w:rsid w:val="006021EB"/>
    <w:rsid w:val="00651974"/>
    <w:rsid w:val="006634B9"/>
    <w:rsid w:val="006845F4"/>
    <w:rsid w:val="006978BF"/>
    <w:rsid w:val="006B17CA"/>
    <w:rsid w:val="006B534E"/>
    <w:rsid w:val="006B5401"/>
    <w:rsid w:val="006C1110"/>
    <w:rsid w:val="006C2884"/>
    <w:rsid w:val="006D45FD"/>
    <w:rsid w:val="006E41B4"/>
    <w:rsid w:val="006F1A52"/>
    <w:rsid w:val="0070783B"/>
    <w:rsid w:val="00714740"/>
    <w:rsid w:val="00720623"/>
    <w:rsid w:val="00721CF0"/>
    <w:rsid w:val="007242D2"/>
    <w:rsid w:val="00731583"/>
    <w:rsid w:val="00733E3A"/>
    <w:rsid w:val="00753A91"/>
    <w:rsid w:val="00762C5D"/>
    <w:rsid w:val="00767350"/>
    <w:rsid w:val="007677B0"/>
    <w:rsid w:val="007775D7"/>
    <w:rsid w:val="00796C1F"/>
    <w:rsid w:val="007A66A7"/>
    <w:rsid w:val="007C0471"/>
    <w:rsid w:val="007C3215"/>
    <w:rsid w:val="007C495B"/>
    <w:rsid w:val="007D3EF5"/>
    <w:rsid w:val="007E51FC"/>
    <w:rsid w:val="007E6B4E"/>
    <w:rsid w:val="007F6EC5"/>
    <w:rsid w:val="008029D0"/>
    <w:rsid w:val="0080467D"/>
    <w:rsid w:val="00814CA6"/>
    <w:rsid w:val="00814F97"/>
    <w:rsid w:val="0082737C"/>
    <w:rsid w:val="00833CBE"/>
    <w:rsid w:val="008608CE"/>
    <w:rsid w:val="00863D83"/>
    <w:rsid w:val="00865E1F"/>
    <w:rsid w:val="00883E02"/>
    <w:rsid w:val="008845EE"/>
    <w:rsid w:val="008A203B"/>
    <w:rsid w:val="008B6DAE"/>
    <w:rsid w:val="008C657C"/>
    <w:rsid w:val="008D6AD3"/>
    <w:rsid w:val="00913887"/>
    <w:rsid w:val="0093608E"/>
    <w:rsid w:val="00985F6D"/>
    <w:rsid w:val="00986719"/>
    <w:rsid w:val="0098708D"/>
    <w:rsid w:val="009878CF"/>
    <w:rsid w:val="00993AB3"/>
    <w:rsid w:val="00995396"/>
    <w:rsid w:val="00996B77"/>
    <w:rsid w:val="00A340E7"/>
    <w:rsid w:val="00A569ED"/>
    <w:rsid w:val="00A65D84"/>
    <w:rsid w:val="00A67E1B"/>
    <w:rsid w:val="00A85370"/>
    <w:rsid w:val="00A871A2"/>
    <w:rsid w:val="00AA3254"/>
    <w:rsid w:val="00AA5F10"/>
    <w:rsid w:val="00AA6D9A"/>
    <w:rsid w:val="00AB49EE"/>
    <w:rsid w:val="00AE4344"/>
    <w:rsid w:val="00AE7EB6"/>
    <w:rsid w:val="00B0345F"/>
    <w:rsid w:val="00B10B69"/>
    <w:rsid w:val="00B16849"/>
    <w:rsid w:val="00B16DFD"/>
    <w:rsid w:val="00B612B1"/>
    <w:rsid w:val="00B63AE7"/>
    <w:rsid w:val="00B66DF9"/>
    <w:rsid w:val="00B8227E"/>
    <w:rsid w:val="00B858CA"/>
    <w:rsid w:val="00BA06B4"/>
    <w:rsid w:val="00BA606E"/>
    <w:rsid w:val="00BB3856"/>
    <w:rsid w:val="00BB4EF0"/>
    <w:rsid w:val="00BC01A8"/>
    <w:rsid w:val="00C16A06"/>
    <w:rsid w:val="00C16BA8"/>
    <w:rsid w:val="00C22458"/>
    <w:rsid w:val="00C2453E"/>
    <w:rsid w:val="00C32212"/>
    <w:rsid w:val="00C41117"/>
    <w:rsid w:val="00C62A08"/>
    <w:rsid w:val="00C6604C"/>
    <w:rsid w:val="00C66873"/>
    <w:rsid w:val="00C72478"/>
    <w:rsid w:val="00C824C1"/>
    <w:rsid w:val="00C91483"/>
    <w:rsid w:val="00C91DB7"/>
    <w:rsid w:val="00C97A2C"/>
    <w:rsid w:val="00CA034A"/>
    <w:rsid w:val="00CA0C31"/>
    <w:rsid w:val="00CD1B3D"/>
    <w:rsid w:val="00CF06DB"/>
    <w:rsid w:val="00D1303E"/>
    <w:rsid w:val="00D142F7"/>
    <w:rsid w:val="00D15EB4"/>
    <w:rsid w:val="00D16B88"/>
    <w:rsid w:val="00D461BF"/>
    <w:rsid w:val="00D5761B"/>
    <w:rsid w:val="00D84BF0"/>
    <w:rsid w:val="00D92D77"/>
    <w:rsid w:val="00DA2A22"/>
    <w:rsid w:val="00DA4F2E"/>
    <w:rsid w:val="00DA7347"/>
    <w:rsid w:val="00DA77C0"/>
    <w:rsid w:val="00DB05C0"/>
    <w:rsid w:val="00DB7239"/>
    <w:rsid w:val="00DD7589"/>
    <w:rsid w:val="00DD75E1"/>
    <w:rsid w:val="00DE2688"/>
    <w:rsid w:val="00E00EE6"/>
    <w:rsid w:val="00E14A5F"/>
    <w:rsid w:val="00E224F2"/>
    <w:rsid w:val="00E236CB"/>
    <w:rsid w:val="00E274B5"/>
    <w:rsid w:val="00E3070D"/>
    <w:rsid w:val="00E35831"/>
    <w:rsid w:val="00E3787F"/>
    <w:rsid w:val="00E4576C"/>
    <w:rsid w:val="00E54372"/>
    <w:rsid w:val="00E662B0"/>
    <w:rsid w:val="00E73140"/>
    <w:rsid w:val="00E96D3A"/>
    <w:rsid w:val="00EA4D5A"/>
    <w:rsid w:val="00EB1834"/>
    <w:rsid w:val="00EB43BC"/>
    <w:rsid w:val="00EB4535"/>
    <w:rsid w:val="00EE5E29"/>
    <w:rsid w:val="00EF49E2"/>
    <w:rsid w:val="00EF7B4A"/>
    <w:rsid w:val="00F2278A"/>
    <w:rsid w:val="00F4200E"/>
    <w:rsid w:val="00F5265A"/>
    <w:rsid w:val="00F63A25"/>
    <w:rsid w:val="00F74A1C"/>
    <w:rsid w:val="00F77595"/>
    <w:rsid w:val="00FB109C"/>
    <w:rsid w:val="00FC0AEB"/>
    <w:rsid w:val="00FC613D"/>
    <w:rsid w:val="00FE64C4"/>
    <w:rsid w:val="00FF636D"/>
    <w:rsid w:val="040235E9"/>
    <w:rsid w:val="0DB1382C"/>
    <w:rsid w:val="13605D15"/>
    <w:rsid w:val="196473B6"/>
    <w:rsid w:val="20D54DEB"/>
    <w:rsid w:val="239B54E3"/>
    <w:rsid w:val="25DF3300"/>
    <w:rsid w:val="36C528D2"/>
    <w:rsid w:val="3A9B3F64"/>
    <w:rsid w:val="40E26194"/>
    <w:rsid w:val="43CB28CA"/>
    <w:rsid w:val="5F624EFD"/>
    <w:rsid w:val="6016123E"/>
    <w:rsid w:val="61032536"/>
    <w:rsid w:val="62922874"/>
    <w:rsid w:val="68D14D5B"/>
    <w:rsid w:val="791018E6"/>
    <w:rsid w:val="7BE1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outlineLvl w:val="0"/>
    </w:pPr>
    <w:rPr>
      <w:rFonts w:eastAsia="华文宋体"/>
      <w:b/>
      <w:bCs/>
      <w:kern w:val="44"/>
      <w:sz w:val="24"/>
      <w:szCs w:val="44"/>
    </w:rPr>
  </w:style>
  <w:style w:type="paragraph" w:styleId="3">
    <w:name w:val="heading 2"/>
    <w:basedOn w:val="1"/>
    <w:next w:val="1"/>
    <w:unhideWhenUsed/>
    <w:qFormat/>
    <w:uiPriority w:val="9"/>
    <w:pPr>
      <w:keepNext/>
      <w:keepLines/>
      <w:spacing w:line="360" w:lineRule="auto"/>
      <w:outlineLvl w:val="1"/>
    </w:pPr>
    <w:rPr>
      <w:rFonts w:eastAsia="华文宋体" w:asciiTheme="majorHAnsi" w:hAnsiTheme="majorHAnsi" w:cstheme="majorBidi"/>
      <w:b/>
      <w:bCs/>
      <w:sz w:val="24"/>
      <w:szCs w:val="32"/>
    </w:rPr>
  </w:style>
  <w:style w:type="paragraph" w:styleId="4">
    <w:name w:val="heading 3"/>
    <w:basedOn w:val="1"/>
    <w:next w:val="1"/>
    <w:unhideWhenUsed/>
    <w:qFormat/>
    <w:uiPriority w:val="9"/>
    <w:pPr>
      <w:keepNext/>
      <w:keepLines/>
      <w:spacing w:line="415" w:lineRule="auto"/>
      <w:outlineLvl w:val="2"/>
    </w:pPr>
    <w:rPr>
      <w:rFonts w:eastAsia="华文宋体"/>
      <w:b/>
      <w:bCs/>
      <w:sz w:val="21"/>
      <w:szCs w:val="32"/>
    </w:rPr>
  </w:style>
  <w:style w:type="paragraph" w:styleId="5">
    <w:name w:val="heading 4"/>
    <w:basedOn w:val="1"/>
    <w:next w:val="1"/>
    <w:unhideWhenUsed/>
    <w:qFormat/>
    <w:uiPriority w:val="9"/>
    <w:pPr>
      <w:keepNext/>
      <w:keepLines/>
      <w:spacing w:line="377" w:lineRule="auto"/>
      <w:outlineLvl w:val="3"/>
    </w:pPr>
    <w:rPr>
      <w:rFonts w:eastAsia="华文宋体" w:asciiTheme="majorHAnsi" w:hAnsiTheme="majorHAnsi" w:cstheme="majorBidi"/>
      <w:b/>
      <w:bCs/>
      <w:sz w:val="21"/>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0"/>
    <w:semiHidden/>
    <w:unhideWhenUsed/>
    <w:qFormat/>
    <w:uiPriority w:val="99"/>
    <w:pPr>
      <w:jc w:val="left"/>
    </w:p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1"/>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日期 字符"/>
    <w:basedOn w:val="14"/>
    <w:link w:val="7"/>
    <w:semiHidden/>
    <w:qFormat/>
    <w:uiPriority w:val="99"/>
  </w:style>
  <w:style w:type="character" w:customStyle="1" w:styleId="20">
    <w:name w:val="批注文字 字符"/>
    <w:basedOn w:val="14"/>
    <w:link w:val="6"/>
    <w:semiHidden/>
    <w:qFormat/>
    <w:uiPriority w:val="99"/>
  </w:style>
  <w:style w:type="character" w:customStyle="1" w:styleId="21">
    <w:name w:val="批注主题 字符"/>
    <w:basedOn w:val="20"/>
    <w:link w:val="11"/>
    <w:semiHidden/>
    <w:qFormat/>
    <w:uiPriority w:val="99"/>
    <w:rPr>
      <w:b/>
      <w:bCs/>
    </w:rPr>
  </w:style>
  <w:style w:type="character" w:customStyle="1" w:styleId="22">
    <w:name w:val="批注框文本 字符"/>
    <w:basedOn w:val="14"/>
    <w:link w:val="8"/>
    <w:semiHidden/>
    <w:qFormat/>
    <w:uiPriority w:val="99"/>
    <w:rPr>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Default"/>
    <w:qFormat/>
    <w:uiPriority w:val="0"/>
    <w:pPr>
      <w:widowControl w:val="0"/>
      <w:autoSpaceDE w:val="0"/>
      <w:autoSpaceDN w:val="0"/>
      <w:adjustRightInd w:val="0"/>
    </w:pPr>
    <w:rPr>
      <w:rFonts w:ascii="宋体_.耀洄.." w:eastAsia="宋体_.耀洄.." w:cs="宋体_.耀洄.." w:hAnsiTheme="minorHAnsi"/>
      <w:color w:val="000000"/>
      <w:sz w:val="24"/>
      <w:szCs w:val="24"/>
      <w:lang w:val="en-US" w:eastAsia="zh-CN" w:bidi="ar-SA"/>
    </w:rPr>
  </w:style>
  <w:style w:type="paragraph" w:customStyle="1" w:styleId="2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444</Words>
  <Characters>2537</Characters>
  <Lines>21</Lines>
  <Paragraphs>5</Paragraphs>
  <TotalTime>3</TotalTime>
  <ScaleCrop>false</ScaleCrop>
  <LinksUpToDate>false</LinksUpToDate>
  <CharactersWithSpaces>2976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2020-05-22T05:45:00Z</dcterms:created>
  <dc:creator>黄婷婷</dc:creator>
  <cp:lastModifiedBy>李颖</cp:lastModifiedBy>
  <cp:lastPrinted>2019-03-14T07:25:00Z</cp:lastPrinted>
  <dcterms:modified xsi:type="dcterms:W3CDTF">2020-06-19T03:17:36Z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