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center"/>
        <w:rPr>
          <w:rFonts w:ascii="方正小标宋简体" w:hAnsi="宋体" w:eastAsia="方正小标宋简体"/>
          <w:color w:val="FF0000"/>
          <w:sz w:val="96"/>
          <w:szCs w:val="66"/>
          <w:highlight w:val="none"/>
        </w:rPr>
      </w:pPr>
      <w:r>
        <w:rPr>
          <w:rFonts w:hint="eastAsia" w:ascii="方正小标宋简体" w:hAnsi="宋体" w:eastAsia="方正小标宋简体"/>
          <w:color w:val="FF0000"/>
          <w:sz w:val="96"/>
          <w:szCs w:val="66"/>
          <w:highlight w:val="none"/>
        </w:rPr>
        <w:t>中山大学化学学院</w:t>
      </w:r>
    </w:p>
    <w:p>
      <w:pPr>
        <w:spacing w:line="560" w:lineRule="atLeast"/>
        <w:ind w:right="70"/>
        <w:jc w:val="right"/>
        <w:rPr>
          <w:color w:val="auto"/>
          <w:sz w:val="28"/>
          <w:szCs w:val="28"/>
          <w:highlight w:val="none"/>
        </w:rPr>
      </w:pPr>
      <w:r>
        <w:rPr>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-229870</wp:posOffset>
                </wp:positionH>
                <wp:positionV relativeFrom="paragraph">
                  <wp:posOffset>5080</wp:posOffset>
                </wp:positionV>
                <wp:extent cx="6155055" cy="50800"/>
                <wp:effectExtent l="0" t="0" r="0" b="0"/>
                <wp:wrapNone/>
                <wp:docPr id="6" name="组合 6"/>
                <wp:cNvGraphicFramePr/>
                <a:graphic xmlns:a="http://schemas.openxmlformats.org/drawingml/2006/main">
                  <a:graphicData uri="http://schemas.microsoft.com/office/word/2010/wordprocessingGroup">
                    <wpg:wgp>
                      <wpg:cNvGrpSpPr/>
                      <wpg:grpSpPr>
                        <a:xfrm>
                          <a:off x="0" y="0"/>
                          <a:ext cx="6155055" cy="50800"/>
                          <a:chOff x="1238" y="3498"/>
                          <a:chExt cx="9693" cy="80"/>
                        </a:xfrm>
                        <a:effectLst/>
                      </wpg:grpSpPr>
                      <wps:wsp>
                        <wps:cNvPr id="7" name="Line 5"/>
                        <wps:cNvCnPr/>
                        <wps:spPr bwMode="auto">
                          <a:xfrm>
                            <a:off x="1238" y="3498"/>
                            <a:ext cx="9693" cy="0"/>
                          </a:xfrm>
                          <a:prstGeom prst="line">
                            <a:avLst/>
                          </a:prstGeom>
                          <a:noFill/>
                          <a:ln w="28575">
                            <a:solidFill>
                              <a:srgbClr val="FF0000"/>
                            </a:solidFill>
                            <a:round/>
                          </a:ln>
                          <a:effectLst/>
                        </wps:spPr>
                        <wps:bodyPr/>
                      </wps:wsp>
                      <wps:wsp>
                        <wps:cNvPr id="8" name="Line 6"/>
                        <wps:cNvCnPr/>
                        <wps:spPr bwMode="auto">
                          <a:xfrm>
                            <a:off x="1238" y="3578"/>
                            <a:ext cx="9693"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18.1pt;margin-top:0.4pt;height:4pt;width:484.65pt;z-index:251660288;mso-width-relative:page;mso-height-relative:page;" coordorigin="1238,3498" coordsize="9693,80" o:gfxdata="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l2Fa7WAAAABgEAAA8AAAAAAAAAAQAgAAAAIgAAAGRycy9kb3ducmV2LnhtbFBL&#10;AQIUABQAAAAIAIdO4kDBicdEMQIAAAwGAAAOAAAAAAAAAAEAIAAAACUBAABkcnMvZTJvRG9jLnht&#10;bFBLBQYAAAAABgAGAFkBAADIBQAAAAA=&#10;">
                <o:lock v:ext="edit" aspectratio="f"/>
                <v:line id="Line 5" o:spid="_x0000_s1026" o:spt="20" style="position:absolute;left:1238;top:3498;height:0;width:9693;" filled="f" stroked="t" coordsize="21600,21600" o:gfxdata="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toIVL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Line 6" o:spid="_x0000_s1026" o:spt="20" style="position:absolute;left:1238;top:3578;height:0;width:9693;" filled="f" stroked="t" coordsize="21600,21600" o:gfxdata="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4loxm5AAAA2gAA&#10;AA8AAAAAAAAAAQAgAAAAIgAAAGRycy9kb3ducmV2LnhtbFBLAQIUABQAAAAIAIdO4kAzLwWeOwAA&#10;ADkAAAAQAAAAAAAAAAEAIAAAAAgBAABkcnMvc2hhcGV4bWwueG1sUEsFBgAAAAAGAAYAWwEAALID&#10;AAAAAA==&#10;">
                  <v:fill on="f" focussize="0,0"/>
                  <v:stroke color="#FF0000" joinstyle="round"/>
                  <v:imagedata o:title=""/>
                  <o:lock v:ext="edit" aspectratio="f"/>
                </v:line>
              </v:group>
            </w:pict>
          </mc:Fallback>
        </mc:AlternateContent>
      </w:r>
    </w:p>
    <w:p>
      <w:pPr>
        <w:kinsoku w:val="0"/>
        <w:overflowPunct w:val="0"/>
        <w:autoSpaceDE w:val="0"/>
        <w:autoSpaceDN w:val="0"/>
        <w:adjustRightInd w:val="0"/>
        <w:snapToGrid w:val="0"/>
        <w:spacing w:line="360" w:lineRule="auto"/>
        <w:ind w:firstLine="5440" w:firstLineChars="1700"/>
        <w:jc w:val="left"/>
        <w:rPr>
          <w:rFonts w:hint="eastAsia" w:ascii="仿宋" w:hAnsi="仿宋" w:eastAsia="仿宋" w:cs="Times New Roman"/>
          <w:color w:val="auto"/>
          <w:kern w:val="21"/>
          <w:sz w:val="32"/>
          <w:szCs w:val="28"/>
          <w:highlight w:val="none"/>
        </w:rPr>
      </w:pPr>
      <w:r>
        <w:rPr>
          <w:rFonts w:hint="eastAsia" w:ascii="仿宋" w:hAnsi="仿宋" w:eastAsia="仿宋" w:cs="Times New Roman"/>
          <w:color w:val="auto"/>
          <w:kern w:val="21"/>
          <w:sz w:val="32"/>
          <w:szCs w:val="28"/>
          <w:highlight w:val="none"/>
        </w:rPr>
        <w:t>化学﹝2020﹞</w:t>
      </w:r>
      <w:r>
        <w:rPr>
          <w:rFonts w:hint="eastAsia" w:ascii="仿宋" w:hAnsi="仿宋" w:eastAsia="仿宋" w:cs="Times New Roman"/>
          <w:color w:val="auto"/>
          <w:kern w:val="21"/>
          <w:sz w:val="32"/>
          <w:szCs w:val="28"/>
          <w:highlight w:val="none"/>
          <w:lang w:val="en-US" w:eastAsia="zh-CN"/>
        </w:rPr>
        <w:t>38</w:t>
      </w:r>
      <w:r>
        <w:rPr>
          <w:rFonts w:hint="eastAsia" w:ascii="仿宋" w:hAnsi="仿宋" w:eastAsia="仿宋" w:cs="Times New Roman"/>
          <w:color w:val="auto"/>
          <w:kern w:val="21"/>
          <w:sz w:val="32"/>
          <w:szCs w:val="28"/>
          <w:highlight w:val="none"/>
        </w:rPr>
        <w:t>号</w:t>
      </w:r>
    </w:p>
    <w:p>
      <w:pPr>
        <w:shd w:val="clear" w:color="auto" w:fill="FFFFFF"/>
        <w:spacing w:before="300" w:after="150"/>
        <w:jc w:val="center"/>
        <w:outlineLvl w:val="2"/>
        <w:rPr>
          <w:rFonts w:ascii="方正小标宋简体" w:hAnsi="微软雅黑" w:eastAsia="方正小标宋简体"/>
          <w:bCs/>
          <w:color w:val="auto"/>
          <w:sz w:val="44"/>
          <w:szCs w:val="44"/>
          <w:highlight w:val="none"/>
        </w:rPr>
      </w:pPr>
      <w:bookmarkStart w:id="2" w:name="_GoBack"/>
      <w:r>
        <w:rPr>
          <w:rFonts w:hint="eastAsia" w:ascii="方正小标宋简体" w:hAnsi="微软雅黑" w:eastAsia="方正小标宋简体"/>
          <w:bCs/>
          <w:color w:val="auto"/>
          <w:sz w:val="44"/>
          <w:szCs w:val="44"/>
          <w:highlight w:val="none"/>
        </w:rPr>
        <w:t>化学学院关于印发《</w:t>
      </w:r>
      <w:r>
        <w:rPr>
          <w:rFonts w:hint="eastAsia" w:ascii="方正小标宋简体" w:hAnsi="微软雅黑" w:eastAsia="方正小标宋简体" w:cs="Times New Roman"/>
          <w:bCs/>
          <w:color w:val="auto"/>
          <w:sz w:val="44"/>
          <w:szCs w:val="44"/>
          <w:highlight w:val="none"/>
        </w:rPr>
        <w:t>化学学院本科生全程导师制实施细则</w:t>
      </w:r>
      <w:r>
        <w:rPr>
          <w:rFonts w:hint="eastAsia" w:ascii="方正小标宋简体" w:hAnsi="微软雅黑" w:eastAsia="方正小标宋简体"/>
          <w:bCs/>
          <w:color w:val="auto"/>
          <w:sz w:val="44"/>
          <w:szCs w:val="44"/>
          <w:highlight w:val="none"/>
        </w:rPr>
        <w:t>》的通知</w:t>
      </w:r>
    </w:p>
    <w:bookmarkEnd w:id="2"/>
    <w:p>
      <w:pPr>
        <w:shd w:val="clear" w:color="auto" w:fill="FFFFFF"/>
        <w:spacing w:before="300" w:after="150" w:line="360" w:lineRule="auto"/>
        <w:outlineLvl w:val="2"/>
        <w:rPr>
          <w:rFonts w:ascii="微软雅黑" w:hAnsi="微软雅黑" w:eastAsia="微软雅黑" w:cs="微软雅黑"/>
          <w:bCs/>
          <w:color w:val="auto"/>
          <w:szCs w:val="32"/>
          <w:highlight w:val="none"/>
        </w:rPr>
      </w:pPr>
    </w:p>
    <w:p>
      <w:pPr>
        <w:adjustRightInd w:val="0"/>
        <w:snapToGrid w:val="0"/>
        <w:spacing w:line="360" w:lineRule="auto"/>
        <w:jc w:val="left"/>
        <w:rPr>
          <w:rFonts w:hint="eastAsia" w:ascii="仿宋" w:hAnsi="仿宋" w:eastAsia="仿宋" w:cs="Times New Roman"/>
          <w:color w:val="auto"/>
          <w:kern w:val="21"/>
          <w:sz w:val="32"/>
          <w:szCs w:val="28"/>
          <w:highlight w:val="none"/>
        </w:rPr>
      </w:pPr>
      <w:r>
        <w:rPr>
          <w:rFonts w:hint="eastAsia" w:ascii="仿宋" w:hAnsi="仿宋" w:eastAsia="仿宋" w:cs="Times New Roman"/>
          <w:color w:val="auto"/>
          <w:kern w:val="21"/>
          <w:sz w:val="32"/>
          <w:szCs w:val="28"/>
          <w:highlight w:val="none"/>
        </w:rPr>
        <w:t>院内各单位：</w:t>
      </w:r>
    </w:p>
    <w:p>
      <w:pPr>
        <w:adjustRightInd w:val="0"/>
        <w:snapToGrid w:val="0"/>
        <w:spacing w:line="360" w:lineRule="auto"/>
        <w:ind w:firstLine="640" w:firstLineChars="200"/>
        <w:jc w:val="left"/>
        <w:rPr>
          <w:rFonts w:hint="eastAsia" w:ascii="仿宋" w:hAnsi="仿宋" w:eastAsia="仿宋" w:cs="Times New Roman"/>
          <w:color w:val="auto"/>
          <w:kern w:val="21"/>
          <w:sz w:val="32"/>
          <w:szCs w:val="28"/>
          <w:highlight w:val="none"/>
        </w:rPr>
      </w:pPr>
      <w:r>
        <w:rPr>
          <w:rFonts w:hint="eastAsia" w:ascii="仿宋" w:hAnsi="仿宋" w:eastAsia="仿宋" w:cs="Times New Roman"/>
          <w:color w:val="auto"/>
          <w:kern w:val="21"/>
          <w:sz w:val="32"/>
          <w:szCs w:val="28"/>
          <w:highlight w:val="none"/>
        </w:rPr>
        <w:t>《化学学院本科生全程导师制实施细则》经学院党政联席会议审议通过，现予以公布，请遵照执行。</w:t>
      </w:r>
    </w:p>
    <w:p>
      <w:pPr>
        <w:adjustRightInd w:val="0"/>
        <w:snapToGrid w:val="0"/>
        <w:spacing w:line="360" w:lineRule="auto"/>
        <w:ind w:firstLine="640" w:firstLineChars="200"/>
        <w:jc w:val="left"/>
        <w:rPr>
          <w:rFonts w:hint="eastAsia" w:ascii="仿宋" w:hAnsi="仿宋" w:eastAsia="仿宋" w:cs="Times New Roman"/>
          <w:color w:val="auto"/>
          <w:kern w:val="21"/>
          <w:sz w:val="32"/>
          <w:szCs w:val="28"/>
          <w:highlight w:val="none"/>
        </w:rPr>
      </w:pPr>
    </w:p>
    <w:p>
      <w:pPr>
        <w:adjustRightInd w:val="0"/>
        <w:snapToGrid w:val="0"/>
        <w:spacing w:line="360" w:lineRule="auto"/>
        <w:ind w:firstLine="640" w:firstLineChars="200"/>
        <w:jc w:val="left"/>
        <w:rPr>
          <w:rFonts w:hint="eastAsia" w:ascii="仿宋" w:hAnsi="仿宋" w:eastAsia="仿宋" w:cs="Times New Roman"/>
          <w:color w:val="auto"/>
          <w:kern w:val="21"/>
          <w:sz w:val="32"/>
          <w:szCs w:val="28"/>
          <w:highlight w:val="none"/>
        </w:rPr>
      </w:pPr>
      <w:r>
        <w:rPr>
          <w:rFonts w:hint="eastAsia" w:ascii="仿宋" w:hAnsi="仿宋" w:eastAsia="仿宋" w:cs="Times New Roman"/>
          <w:color w:val="auto"/>
          <w:kern w:val="21"/>
          <w:sz w:val="32"/>
          <w:szCs w:val="28"/>
          <w:highlight w:val="none"/>
        </w:rPr>
        <w:t xml:space="preserve">                               化学学院</w:t>
      </w:r>
    </w:p>
    <w:p>
      <w:pPr>
        <w:adjustRightInd w:val="0"/>
        <w:snapToGrid w:val="0"/>
        <w:spacing w:line="360" w:lineRule="auto"/>
        <w:ind w:firstLine="640" w:firstLineChars="200"/>
        <w:jc w:val="left"/>
        <w:rPr>
          <w:rFonts w:hint="eastAsia" w:ascii="仿宋" w:hAnsi="仿宋" w:eastAsia="仿宋" w:cs="Times New Roman"/>
          <w:color w:val="auto"/>
          <w:kern w:val="21"/>
          <w:sz w:val="32"/>
          <w:szCs w:val="28"/>
          <w:highlight w:val="none"/>
        </w:rPr>
      </w:pPr>
      <w:r>
        <w:rPr>
          <w:rFonts w:hint="eastAsia" w:ascii="仿宋" w:hAnsi="仿宋" w:eastAsia="仿宋" w:cs="Times New Roman"/>
          <w:color w:val="auto"/>
          <w:kern w:val="21"/>
          <w:sz w:val="32"/>
          <w:szCs w:val="28"/>
          <w:highlight w:val="none"/>
        </w:rPr>
        <w:t xml:space="preserve">  </w:t>
      </w:r>
      <w:r>
        <w:rPr>
          <w:rFonts w:hint="eastAsia" w:ascii="仿宋" w:hAnsi="仿宋" w:eastAsia="仿宋" w:cs="Times New Roman"/>
          <w:color w:val="auto"/>
          <w:kern w:val="21"/>
          <w:sz w:val="32"/>
          <w:szCs w:val="28"/>
          <w:highlight w:val="none"/>
          <w:lang w:val="en-US" w:eastAsia="zh-CN"/>
        </w:rPr>
        <w:t xml:space="preserve">                         </w:t>
      </w:r>
      <w:r>
        <w:rPr>
          <w:rFonts w:hint="eastAsia" w:ascii="仿宋" w:hAnsi="仿宋" w:eastAsia="仿宋" w:cs="Times New Roman"/>
          <w:color w:val="auto"/>
          <w:kern w:val="21"/>
          <w:sz w:val="32"/>
          <w:szCs w:val="28"/>
          <w:highlight w:val="none"/>
        </w:rPr>
        <w:t>2020年</w:t>
      </w:r>
      <w:r>
        <w:rPr>
          <w:rFonts w:hint="eastAsia" w:ascii="仿宋" w:hAnsi="仿宋" w:eastAsia="仿宋" w:cs="Times New Roman"/>
          <w:color w:val="auto"/>
          <w:kern w:val="21"/>
          <w:sz w:val="32"/>
          <w:szCs w:val="28"/>
          <w:highlight w:val="none"/>
          <w:lang w:val="en-US" w:eastAsia="zh-CN"/>
        </w:rPr>
        <w:t>6</w:t>
      </w:r>
      <w:r>
        <w:rPr>
          <w:rFonts w:hint="eastAsia" w:ascii="仿宋" w:hAnsi="仿宋" w:eastAsia="仿宋" w:cs="Times New Roman"/>
          <w:color w:val="auto"/>
          <w:kern w:val="21"/>
          <w:sz w:val="32"/>
          <w:szCs w:val="28"/>
          <w:highlight w:val="none"/>
        </w:rPr>
        <w:t>月</w:t>
      </w:r>
      <w:r>
        <w:rPr>
          <w:rFonts w:hint="eastAsia" w:ascii="仿宋" w:hAnsi="仿宋" w:eastAsia="仿宋" w:cs="Times New Roman"/>
          <w:color w:val="auto"/>
          <w:kern w:val="21"/>
          <w:sz w:val="32"/>
          <w:szCs w:val="28"/>
          <w:highlight w:val="none"/>
          <w:lang w:val="en-US" w:eastAsia="zh-CN"/>
        </w:rPr>
        <w:t>18</w:t>
      </w:r>
      <w:r>
        <w:rPr>
          <w:rFonts w:hint="eastAsia" w:ascii="仿宋" w:hAnsi="仿宋" w:eastAsia="仿宋" w:cs="Times New Roman"/>
          <w:color w:val="auto"/>
          <w:kern w:val="21"/>
          <w:sz w:val="32"/>
          <w:szCs w:val="28"/>
          <w:highlight w:val="none"/>
        </w:rPr>
        <w:t xml:space="preserve">日 </w:t>
      </w:r>
    </w:p>
    <w:p>
      <w:pP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br w:type="page"/>
      </w:r>
    </w:p>
    <w:p>
      <w:pPr>
        <w:pStyle w:val="6"/>
        <w:jc w:val="center"/>
        <w:rPr>
          <w:rFonts w:hint="eastAsia" w:ascii="仿宋" w:hAnsi="仿宋" w:eastAsia="仿宋" w:cs="仿宋"/>
          <w:sz w:val="32"/>
          <w:szCs w:val="32"/>
        </w:rPr>
      </w:pPr>
      <w:r>
        <w:rPr>
          <w:rFonts w:hint="eastAsia" w:ascii="方正小标宋简体" w:hAnsi="微软雅黑" w:eastAsia="方正小标宋简体" w:cstheme="minorBidi"/>
          <w:bCs/>
          <w:color w:val="auto"/>
          <w:kern w:val="2"/>
          <w:sz w:val="44"/>
          <w:szCs w:val="44"/>
          <w:highlight w:val="none"/>
          <w:lang w:val="en-US" w:eastAsia="zh-CN" w:bidi="ar-SA"/>
        </w:rPr>
        <w:t>化学学院本科生全程导师制实施细则</w:t>
      </w:r>
    </w:p>
    <w:p>
      <w:pPr>
        <w:pStyle w:val="6"/>
        <w:ind w:firstLine="643" w:firstLineChars="200"/>
        <w:rPr>
          <w:rFonts w:hint="eastAsia" w:ascii="仿宋" w:hAnsi="仿宋" w:eastAsia="仿宋" w:cs="仿宋"/>
          <w:sz w:val="32"/>
          <w:szCs w:val="32"/>
        </w:rPr>
      </w:pP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为加强本科生专业教育，引导本科生明确发展目标，做好发展规划，切实培养德才兼备、具有领袖气质、家国情怀和国际视野的化学人才，化学学院本科生试行全程导师制。实施细则如下：</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firstLine="643" w:firstLineChars="200"/>
        <w:textAlignment w:val="auto"/>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一、</w:t>
      </w:r>
      <w:r>
        <w:rPr>
          <w:rFonts w:hint="default" w:ascii="Times New Roman" w:hAnsi="Times New Roman" w:eastAsia="仿宋_GB2312" w:cs="Times New Roman"/>
          <w:b/>
          <w:bCs/>
          <w:color w:val="000000"/>
          <w:sz w:val="32"/>
          <w:szCs w:val="32"/>
        </w:rPr>
        <w:t>全程导师的含义</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rPr>
        <w:t>为帮助本科学生尽快熟悉化学专业学习规律，提高科研素养，做好学术发展和职业发展规划，学院选配导师对学生本科四年期间的专业学习全程给予指导。</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rPr>
        <w:t>根据本科四年的学生成长规律和专业学习规律，学院</w:t>
      </w:r>
      <w:r>
        <w:rPr>
          <w:rFonts w:hint="eastAsia" w:ascii="Times New Roman" w:hAnsi="Times New Roman" w:eastAsia="仿宋_GB2312" w:cs="Times New Roman"/>
          <w:color w:val="000000"/>
          <w:sz w:val="32"/>
          <w:szCs w:val="32"/>
          <w:lang w:val="en-US" w:eastAsia="zh-CN"/>
        </w:rPr>
        <w:t>在大一起为每一位本科生选配一名导师。每学年开学后两周内，导师和学生均可根据实际需要，向学院提出指导学生人选或导师调整的申请。大四学年的导师同时是毕业论文指导老师</w:t>
      </w:r>
      <w:r>
        <w:rPr>
          <w:rFonts w:hint="default" w:ascii="Times New Roman" w:hAnsi="Times New Roman" w:eastAsia="仿宋_GB2312" w:cs="Times New Roman"/>
          <w:color w:val="000000"/>
          <w:sz w:val="32"/>
          <w:szCs w:val="32"/>
        </w:rPr>
        <w:t>。</w:t>
      </w:r>
    </w:p>
    <w:p>
      <w:pPr>
        <w:pStyle w:val="7"/>
        <w:keepNext w:val="0"/>
        <w:keepLines w:val="0"/>
        <w:pageBreakBefore w:val="0"/>
        <w:widowControl/>
        <w:numPr>
          <w:ilvl w:val="255"/>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rPr>
        <w:t>进入拔尖培育基地班学习的本科生，全程导师应变更为拔尖培育基地班的导师。</w:t>
      </w:r>
    </w:p>
    <w:p>
      <w:pPr>
        <w:pStyle w:val="7"/>
        <w:keepNext w:val="0"/>
        <w:keepLines w:val="0"/>
        <w:pageBreakBefore w:val="0"/>
        <w:widowControl/>
        <w:numPr>
          <w:ilvl w:val="255"/>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（四）强基计划的本科生，按照强基计划本科生全程导师实施方案执行。</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Chars="0"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color w:val="000000"/>
          <w:sz w:val="32"/>
          <w:szCs w:val="32"/>
          <w:lang w:val="en-US" w:eastAsia="zh-CN"/>
        </w:rPr>
        <w:t>二、</w:t>
      </w:r>
      <w:r>
        <w:rPr>
          <w:rFonts w:hint="default" w:ascii="Times New Roman" w:hAnsi="Times New Roman" w:eastAsia="仿宋_GB2312" w:cs="Times New Roman"/>
          <w:b/>
          <w:bCs/>
          <w:color w:val="000000"/>
          <w:sz w:val="32"/>
          <w:szCs w:val="32"/>
        </w:rPr>
        <w:t>本科生全程导师选聘办法</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rPr>
        <w:t>学院在编在岗教师均可担任本科生导师。</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rPr>
        <w:t>学院在</w:t>
      </w:r>
      <w:r>
        <w:rPr>
          <w:rFonts w:hint="eastAsia" w:ascii="Times New Roman" w:hAnsi="Times New Roman" w:eastAsia="仿宋_GB2312" w:cs="Times New Roman"/>
          <w:color w:val="000000"/>
          <w:sz w:val="32"/>
          <w:szCs w:val="32"/>
          <w:lang w:val="en-US" w:eastAsia="zh-CN"/>
        </w:rPr>
        <w:t>每学年第一学期开学后两周内（新生在第一学期开学后4周内）完成</w:t>
      </w:r>
      <w:r>
        <w:rPr>
          <w:rFonts w:hint="default" w:ascii="Times New Roman" w:hAnsi="Times New Roman" w:eastAsia="仿宋_GB2312" w:cs="Times New Roman"/>
          <w:color w:val="000000"/>
          <w:sz w:val="32"/>
          <w:szCs w:val="32"/>
        </w:rPr>
        <w:t>学生全程导师选配。</w:t>
      </w:r>
      <w:r>
        <w:rPr>
          <w:rFonts w:hint="default" w:ascii="Times New Roman" w:hAnsi="Times New Roman" w:eastAsia="仿宋_GB2312" w:cs="Times New Roman"/>
          <w:sz w:val="32"/>
          <w:szCs w:val="32"/>
        </w:rPr>
        <w:t>无特殊情况的，导师不得中止导师工作，</w:t>
      </w:r>
      <w:r>
        <w:rPr>
          <w:rFonts w:hint="default" w:ascii="Times New Roman" w:hAnsi="Times New Roman" w:eastAsia="仿宋_GB2312" w:cs="Times New Roman"/>
          <w:color w:val="000000"/>
          <w:sz w:val="32"/>
          <w:szCs w:val="32"/>
        </w:rPr>
        <w:t>学生也不得随意更换导师。</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rPr>
        <w:t>本科生与全程导师的集中选配，以师生双向选择方式确定，程序如下：</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学院提供导师信息（名单、研究方向、联系方式），在规定时间内，由学生自主联系导师。导师对学生情况进行了解，确定是否担任该学生的导师。导师确认后，在学生提交的《化学学院本科生导师申请表》上签名，再由学生将签名后的申请表学院。</w:t>
      </w:r>
      <w:r>
        <w:rPr>
          <w:rFonts w:hint="eastAsia" w:ascii="Times New Roman" w:hAnsi="Times New Roman" w:eastAsia="仿宋_GB2312" w:cs="Times New Roman"/>
          <w:color w:val="000000"/>
          <w:sz w:val="32"/>
          <w:szCs w:val="32"/>
          <w:lang w:val="en-US" w:eastAsia="zh-CN"/>
        </w:rPr>
        <w:t>如导师决定下一学年不再指导原来学生的，或学生决定下一学年重新选择导师的，均需在每学年第二学期结束前两周提交相关申请，并告知相应学生或老师，学院将协助和指导相应学生在该学年第一学期前两周内重新选配导师。</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rPr>
        <w:t>每位导师指导同</w:t>
      </w:r>
      <w:r>
        <w:rPr>
          <w:rFonts w:hint="default" w:ascii="Times New Roman" w:hAnsi="Times New Roman" w:eastAsia="仿宋_GB2312" w:cs="Times New Roman"/>
          <w:color w:val="auto"/>
          <w:sz w:val="32"/>
          <w:szCs w:val="32"/>
          <w:highlight w:val="none"/>
        </w:rPr>
        <w:t>年级本科生不能超过2人，指导本科生总数不能超过6人。</w:t>
      </w:r>
    </w:p>
    <w:p>
      <w:pPr>
        <w:keepNext w:val="0"/>
        <w:keepLines w:val="0"/>
        <w:pageBreakBefore w:val="0"/>
        <w:kinsoku/>
        <w:wordWrap/>
        <w:overflowPunct/>
        <w:topLinePunct w:val="0"/>
        <w:autoSpaceDE/>
        <w:autoSpaceDN/>
        <w:bidi w:val="0"/>
        <w:adjustRightInd w:val="0"/>
        <w:snapToGrid w:val="0"/>
        <w:spacing w:afterAutospacing="0" w:line="360" w:lineRule="auto"/>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三、本科生全程导师基本职责与任务</w:t>
      </w:r>
    </w:p>
    <w:p>
      <w:pPr>
        <w:keepNext w:val="0"/>
        <w:keepLines w:val="0"/>
        <w:pageBreakBefore w:val="0"/>
        <w:kinsoku/>
        <w:wordWrap/>
        <w:overflowPunct/>
        <w:topLinePunct w:val="0"/>
        <w:autoSpaceDE/>
        <w:autoSpaceDN/>
        <w:bidi w:val="0"/>
        <w:adjustRightInd w:val="0"/>
        <w:snapToGrid w:val="0"/>
        <w:spacing w:afterAutospacing="0" w:line="360" w:lineRule="auto"/>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导师应了解所指导本科生的学习情况、学习态度、思想、性格、特长等，以培养能解决重大科学问题和国家重大战略需求的人才的培养目标，针对学生的特点因材施教，帮助学生树立</w:t>
      </w:r>
      <w:r>
        <w:rPr>
          <w:rStyle w:val="13"/>
          <w:rFonts w:hint="default" w:ascii="Times New Roman" w:hAnsi="Times New Roman" w:eastAsia="仿宋_GB2312" w:cs="Times New Roman"/>
          <w:sz w:val="32"/>
          <w:szCs w:val="32"/>
          <w:lang w:val="en-US" w:eastAsia="zh-CN"/>
        </w:rPr>
        <w:t>家国情怀、</w:t>
      </w:r>
      <w:r>
        <w:rPr>
          <w:rFonts w:hint="default" w:ascii="Times New Roman" w:hAnsi="Times New Roman" w:eastAsia="仿宋_GB2312" w:cs="Times New Roman"/>
          <w:sz w:val="32"/>
          <w:szCs w:val="32"/>
        </w:rPr>
        <w:t>团队精神、创新精神和终身学习的能力。</w:t>
      </w:r>
    </w:p>
    <w:p>
      <w:pPr>
        <w:keepNext w:val="0"/>
        <w:keepLines w:val="0"/>
        <w:pageBreakBefore w:val="0"/>
        <w:kinsoku/>
        <w:wordWrap/>
        <w:overflowPunct/>
        <w:topLinePunct w:val="0"/>
        <w:autoSpaceDE/>
        <w:autoSpaceDN/>
        <w:bidi w:val="0"/>
        <w:adjustRightInd w:val="0"/>
        <w:snapToGrid w:val="0"/>
        <w:spacing w:afterAutospacing="0" w:line="360" w:lineRule="auto"/>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结合自身研究方向，引导并培养学生开展科研实践的兴趣，引导学生建立职业使命感。</w:t>
      </w:r>
    </w:p>
    <w:p>
      <w:pPr>
        <w:keepNext w:val="0"/>
        <w:keepLines w:val="0"/>
        <w:pageBreakBefore w:val="0"/>
        <w:kinsoku/>
        <w:wordWrap/>
        <w:overflowPunct/>
        <w:topLinePunct w:val="0"/>
        <w:autoSpaceDE/>
        <w:autoSpaceDN/>
        <w:bidi w:val="0"/>
        <w:adjustRightInd w:val="0"/>
        <w:snapToGrid w:val="0"/>
        <w:spacing w:afterAutospacing="0" w:line="360" w:lineRule="auto"/>
        <w:ind w:left="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对学生参加各类科研项目或学术竞赛给予专业指导，指导学生参与科研项目或进行学术论文撰写。鼓励导师指导和支持学生参与各种学术交流活动，尤其是国内、外高水平学术会议，学院将设立专门的资助本科生参加国内、外高水平学术会议的经费。需要资助的学生可向学院提交相关申请。</w:t>
      </w:r>
    </w:p>
    <w:p>
      <w:pPr>
        <w:keepNext w:val="0"/>
        <w:keepLines w:val="0"/>
        <w:pageBreakBefore w:val="0"/>
        <w:kinsoku/>
        <w:wordWrap/>
        <w:overflowPunct/>
        <w:topLinePunct w:val="0"/>
        <w:autoSpaceDE/>
        <w:autoSpaceDN/>
        <w:bidi w:val="0"/>
        <w:adjustRightInd w:val="0"/>
        <w:snapToGrid w:val="0"/>
        <w:spacing w:afterAutospacing="0" w:line="360" w:lineRule="auto"/>
        <w:ind w:left="0" w:firstLine="56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鼓励导师为所指导的本科生安排一名研究生协助开展相关工作，充分利用多种交流方式，对学生学习、生活、心理健康等进行积极的正面引导，对学生的疑问及时给予反馈。</w:t>
      </w:r>
    </w:p>
    <w:p>
      <w:pPr>
        <w:keepNext w:val="0"/>
        <w:keepLines w:val="0"/>
        <w:pageBreakBefore w:val="0"/>
        <w:kinsoku/>
        <w:wordWrap/>
        <w:overflowPunct/>
        <w:topLinePunct w:val="0"/>
        <w:autoSpaceDE/>
        <w:autoSpaceDN/>
        <w:bidi w:val="0"/>
        <w:adjustRightInd w:val="0"/>
        <w:snapToGrid w:val="0"/>
        <w:spacing w:afterAutospacing="0" w:line="360" w:lineRule="auto"/>
        <w:ind w:left="0" w:firstLine="56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导师应指导学生制订学习计划，为学生指出努力方向。根据工作指引要求，每学期至少与学生面谈2次，开学初（开学后两周内）、期中（期中考试结束后一周内），并在面谈后对学生情况做出书面评价，填写《化学学院本科生全程导师制——学业发展培养评价表》。</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四、学生基本要求与任务</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rPr>
        <w:t>主动向导师汇报学习情况。每学期开学后两周内向导师书面汇报上学期考试成绩、学业进展和新学期学习计划，确定个人努力方向。期中考试结束后一周内向导师汇报上半学期学习情况，讨论学习计划完成情况、存在的问题和改进措施。其他时间视个人需要，可随时与导师联系。</w:t>
      </w:r>
    </w:p>
    <w:p>
      <w:pPr>
        <w:keepNext w:val="0"/>
        <w:keepLines w:val="0"/>
        <w:pageBreakBefore w:val="0"/>
        <w:kinsoku/>
        <w:wordWrap/>
        <w:overflowPunct/>
        <w:topLinePunct w:val="0"/>
        <w:autoSpaceDE/>
        <w:autoSpaceDN/>
        <w:bidi w:val="0"/>
        <w:adjustRightInd w:val="0"/>
        <w:snapToGrid w:val="0"/>
        <w:spacing w:afterAutospacing="0" w:line="360" w:lineRule="auto"/>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sz w:val="32"/>
          <w:szCs w:val="32"/>
        </w:rPr>
        <w:t>除了学习能力特别强的学生外，其余学生原则上第一、二学</w:t>
      </w:r>
      <w:r>
        <w:rPr>
          <w:rFonts w:hint="eastAsia"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rPr>
        <w:t>只参加导师课题组的组会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开展文献查阅、实验安全、实验基本技能等科研基础训练学习。之后视学生个人学习情况逐步深入开展科研实</w:t>
      </w:r>
      <w:r>
        <w:rPr>
          <w:rFonts w:hint="default" w:ascii="Times New Roman" w:hAnsi="Times New Roman" w:eastAsia="仿宋_GB2312" w:cs="Times New Roman"/>
          <w:color w:val="auto"/>
          <w:sz w:val="32"/>
          <w:szCs w:val="32"/>
        </w:rPr>
        <w:t>践训练。</w:t>
      </w:r>
      <w:r>
        <w:rPr>
          <w:rFonts w:hint="eastAsia" w:ascii="Times New Roman" w:hAnsi="Times New Roman" w:eastAsia="仿宋_GB2312" w:cs="Times New Roman"/>
          <w:color w:val="auto"/>
          <w:sz w:val="32"/>
          <w:szCs w:val="32"/>
          <w:lang w:val="en-US" w:eastAsia="zh-CN"/>
        </w:rPr>
        <w:t>第一</w:t>
      </w:r>
      <w:r>
        <w:rPr>
          <w:rFonts w:hint="default" w:ascii="Times New Roman" w:hAnsi="Times New Roman" w:eastAsia="仿宋_GB2312" w:cs="Times New Roman"/>
          <w:color w:val="auto"/>
          <w:sz w:val="32"/>
          <w:szCs w:val="32"/>
        </w:rPr>
        <w:t>学期</w:t>
      </w:r>
      <w:r>
        <w:rPr>
          <w:rFonts w:hint="eastAsia" w:ascii="Times New Roman" w:hAnsi="Times New Roman" w:eastAsia="仿宋_GB2312" w:cs="Times New Roman"/>
          <w:color w:val="auto"/>
          <w:sz w:val="32"/>
          <w:szCs w:val="32"/>
          <w:lang w:val="en-US" w:eastAsia="zh-CN"/>
        </w:rPr>
        <w:t>不强制</w:t>
      </w:r>
      <w:r>
        <w:rPr>
          <w:rFonts w:hint="default" w:ascii="Times New Roman" w:hAnsi="Times New Roman" w:eastAsia="仿宋_GB2312" w:cs="Times New Roman"/>
          <w:color w:val="auto"/>
          <w:sz w:val="32"/>
          <w:szCs w:val="32"/>
        </w:rPr>
        <w:t>参加导师课题组组会</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从第二学期起，每学期至少参加导师课题组组会3次</w:t>
      </w:r>
      <w:r>
        <w:rPr>
          <w:rFonts w:hint="default" w:ascii="Times New Roman" w:hAnsi="Times New Roman" w:eastAsia="仿宋_GB2312" w:cs="Times New Roman"/>
          <w:color w:val="auto"/>
          <w:sz w:val="32"/>
          <w:szCs w:val="32"/>
        </w:rPr>
        <w:t>。从大二开始，每学期至少做一次文献阅读汇报。</w:t>
      </w:r>
    </w:p>
    <w:p>
      <w:pPr>
        <w:keepNext w:val="0"/>
        <w:keepLines w:val="0"/>
        <w:pageBreakBefore w:val="0"/>
        <w:kinsoku/>
        <w:wordWrap/>
        <w:overflowPunct/>
        <w:topLinePunct w:val="0"/>
        <w:autoSpaceDE/>
        <w:autoSpaceDN/>
        <w:bidi w:val="0"/>
        <w:adjustRightInd w:val="0"/>
        <w:snapToGrid w:val="0"/>
        <w:spacing w:afterAutospacing="0" w:line="360" w:lineRule="auto"/>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rPr>
        <w:t>主动、认真地参与导师要求的各项学业活动，包括导师所在课题组的学术活动和讲座报告。拓展学科视野，了解学科前沿，努力培养和提升科研能力与创新思维。</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rPr>
        <w:t>每学期开学后第三周周三前、第十二周周三前，以班为单位，由学习委员收集</w:t>
      </w:r>
      <w:r>
        <w:rPr>
          <w:rFonts w:hint="default" w:ascii="Times New Roman" w:hAnsi="Times New Roman" w:eastAsia="仿宋_GB2312" w:cs="Times New Roman"/>
          <w:sz w:val="32"/>
          <w:szCs w:val="32"/>
        </w:rPr>
        <w:t>《化学学院本科生全程导师制——学业发展培养评价表》</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color w:val="000000"/>
          <w:sz w:val="32"/>
          <w:szCs w:val="32"/>
        </w:rPr>
        <w:t>相关材料，提交到学工办。</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firstLine="56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每学期应完成的学习任务</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jc w:val="center"/>
        <w:textAlignment w:val="auto"/>
        <w:rPr>
          <w:rFonts w:hint="eastAsia"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rPr>
        <w:t>参与全程导师制本科生每学期学习任务</w:t>
      </w:r>
      <w:r>
        <w:rPr>
          <w:rFonts w:hint="eastAsia" w:ascii="Times New Roman" w:hAnsi="Times New Roman" w:eastAsia="仿宋_GB2312" w:cs="Times New Roman"/>
          <w:b/>
          <w:bCs/>
          <w:color w:val="auto"/>
          <w:sz w:val="32"/>
          <w:szCs w:val="32"/>
          <w:lang w:val="en-US" w:eastAsia="zh-CN"/>
        </w:rPr>
        <w:t>表</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2472"/>
        <w:gridCol w:w="1080"/>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应完成的项目</w:t>
            </w:r>
          </w:p>
        </w:tc>
        <w:tc>
          <w:tcPr>
            <w:tcW w:w="247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具体指标</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必做/选做</w:t>
            </w:r>
          </w:p>
        </w:tc>
        <w:tc>
          <w:tcPr>
            <w:tcW w:w="249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实验技能</w:t>
            </w:r>
          </w:p>
        </w:tc>
        <w:tc>
          <w:tcPr>
            <w:tcW w:w="247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自选1项</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必做</w:t>
            </w:r>
          </w:p>
        </w:tc>
        <w:tc>
          <w:tcPr>
            <w:tcW w:w="249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实验仪器</w:t>
            </w:r>
          </w:p>
        </w:tc>
        <w:tc>
          <w:tcPr>
            <w:tcW w:w="247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自选1项</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必做</w:t>
            </w:r>
          </w:p>
        </w:tc>
        <w:tc>
          <w:tcPr>
            <w:tcW w:w="249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聆听学术报告</w:t>
            </w:r>
          </w:p>
        </w:tc>
        <w:tc>
          <w:tcPr>
            <w:tcW w:w="247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每学期至少参加与专业相关的学术报告</w:t>
            </w:r>
            <w:r>
              <w:rPr>
                <w:rFonts w:hint="eastAsia" w:ascii="仿宋" w:hAnsi="仿宋" w:eastAsia="仿宋" w:cs="仿宋"/>
                <w:sz w:val="32"/>
                <w:szCs w:val="32"/>
                <w:lang w:val="en-US" w:eastAsia="zh-CN"/>
              </w:rPr>
              <w:t>2</w:t>
            </w:r>
            <w:r>
              <w:rPr>
                <w:rFonts w:hint="eastAsia" w:ascii="仿宋" w:hAnsi="仿宋" w:eastAsia="仿宋" w:cs="仿宋"/>
                <w:sz w:val="32"/>
                <w:szCs w:val="32"/>
              </w:rPr>
              <w:t>场次</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必做</w:t>
            </w:r>
          </w:p>
        </w:tc>
        <w:tc>
          <w:tcPr>
            <w:tcW w:w="249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参加学术组会</w:t>
            </w:r>
          </w:p>
        </w:tc>
        <w:tc>
          <w:tcPr>
            <w:tcW w:w="247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按导师要求按时参加</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必做</w:t>
            </w:r>
          </w:p>
        </w:tc>
        <w:tc>
          <w:tcPr>
            <w:tcW w:w="249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第一学期为选</w:t>
            </w:r>
            <w:r>
              <w:rPr>
                <w:rFonts w:hint="eastAsia" w:ascii="仿宋" w:hAnsi="仿宋" w:eastAsia="仿宋" w:cs="仿宋"/>
                <w:sz w:val="32"/>
                <w:szCs w:val="32"/>
              </w:rPr>
              <w:t>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w:t>
            </w:r>
            <w:r>
              <w:rPr>
                <w:rFonts w:hint="eastAsia" w:ascii="仿宋" w:hAnsi="仿宋" w:eastAsia="仿宋" w:cs="仿宋"/>
                <w:color w:val="auto"/>
                <w:sz w:val="32"/>
                <w:szCs w:val="32"/>
                <w:lang w:val="en-US" w:eastAsia="zh-CN"/>
              </w:rPr>
              <w:t>余</w:t>
            </w:r>
            <w:r>
              <w:rPr>
                <w:rFonts w:hint="eastAsia" w:ascii="仿宋" w:hAnsi="仿宋" w:eastAsia="仿宋" w:cs="仿宋"/>
                <w:color w:val="auto"/>
                <w:sz w:val="32"/>
                <w:szCs w:val="32"/>
              </w:rPr>
              <w:t>每学期</w:t>
            </w:r>
            <w:r>
              <w:rPr>
                <w:rFonts w:hint="eastAsia" w:ascii="仿宋" w:hAnsi="仿宋" w:eastAsia="仿宋" w:cs="仿宋"/>
                <w:color w:val="auto"/>
                <w:sz w:val="32"/>
                <w:szCs w:val="32"/>
                <w:lang w:val="en-US" w:eastAsia="zh-CN"/>
              </w:rPr>
              <w:t>不少于3次</w:t>
            </w:r>
            <w:r>
              <w:rPr>
                <w:rFonts w:hint="eastAsia" w:ascii="仿宋" w:hAnsi="仿宋" w:eastAsia="仿宋" w:cs="仿宋"/>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在组会上做文献调研报告</w:t>
            </w:r>
          </w:p>
        </w:tc>
        <w:tc>
          <w:tcPr>
            <w:tcW w:w="247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每学期至少1次</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必做</w:t>
            </w:r>
          </w:p>
        </w:tc>
        <w:tc>
          <w:tcPr>
            <w:tcW w:w="249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第一学期为选</w:t>
            </w:r>
            <w:r>
              <w:rPr>
                <w:rFonts w:hint="eastAsia" w:ascii="仿宋" w:hAnsi="仿宋" w:eastAsia="仿宋" w:cs="仿宋"/>
                <w:sz w:val="32"/>
                <w:szCs w:val="32"/>
              </w:rP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自主设计实验</w:t>
            </w:r>
          </w:p>
        </w:tc>
        <w:tc>
          <w:tcPr>
            <w:tcW w:w="247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在导师指导下确定课题，并完成。</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大一选做，</w:t>
            </w:r>
          </w:p>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大二选做，</w:t>
            </w:r>
          </w:p>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大三必做，</w:t>
            </w:r>
          </w:p>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大四必做</w:t>
            </w:r>
          </w:p>
        </w:tc>
        <w:tc>
          <w:tcPr>
            <w:tcW w:w="249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afterAutospacing="0" w:line="360" w:lineRule="auto"/>
              <w:ind w:left="0"/>
              <w:textAlignment w:val="auto"/>
              <w:rPr>
                <w:rFonts w:hint="eastAsia" w:ascii="仿宋" w:hAnsi="仿宋" w:eastAsia="仿宋" w:cs="仿宋"/>
                <w:sz w:val="32"/>
                <w:szCs w:val="32"/>
              </w:rPr>
            </w:pPr>
            <w:r>
              <w:rPr>
                <w:rFonts w:hint="eastAsia" w:ascii="仿宋" w:hAnsi="仿宋" w:eastAsia="仿宋" w:cs="仿宋"/>
                <w:sz w:val="32"/>
                <w:szCs w:val="32"/>
              </w:rPr>
              <w:t>建议可开展：1</w:t>
            </w:r>
            <w:r>
              <w:rPr>
                <w:rFonts w:hint="eastAsia" w:ascii="仿宋" w:hAnsi="仿宋" w:eastAsia="仿宋" w:cs="仿宋"/>
                <w:sz w:val="32"/>
                <w:szCs w:val="32"/>
                <w:lang w:val="en-US" w:eastAsia="zh-CN"/>
              </w:rPr>
              <w:t>.</w:t>
            </w:r>
            <w:r>
              <w:rPr>
                <w:rFonts w:hint="eastAsia" w:ascii="仿宋" w:hAnsi="仿宋" w:eastAsia="仿宋" w:cs="仿宋"/>
                <w:sz w:val="32"/>
                <w:szCs w:val="32"/>
              </w:rPr>
              <w:t>与高年级学生组队申报学院/学校的大学生创新科研项目、实验室开放基金项目等</w:t>
            </w:r>
            <w:r>
              <w:rPr>
                <w:rFonts w:hint="eastAsia" w:ascii="仿宋" w:hAnsi="仿宋" w:eastAsia="仿宋" w:cs="仿宋"/>
                <w:sz w:val="32"/>
                <w:szCs w:val="32"/>
                <w:lang w:val="en-US" w:eastAsia="zh-CN"/>
              </w:rPr>
              <w:t>;2.</w:t>
            </w:r>
            <w:r>
              <w:rPr>
                <w:rFonts w:hint="eastAsia" w:ascii="仿宋" w:hAnsi="仿宋" w:eastAsia="仿宋" w:cs="仿宋"/>
                <w:sz w:val="32"/>
                <w:szCs w:val="32"/>
              </w:rPr>
              <w:t>参加从导师组科研项目中分离出的小课题研究</w:t>
            </w:r>
            <w:r>
              <w:rPr>
                <w:rFonts w:hint="eastAsia" w:ascii="仿宋" w:hAnsi="仿宋" w:eastAsia="仿宋" w:cs="仿宋"/>
                <w:sz w:val="32"/>
                <w:szCs w:val="32"/>
                <w:lang w:val="en-US" w:eastAsia="zh-CN"/>
              </w:rPr>
              <w:t>;3.</w:t>
            </w:r>
            <w:r>
              <w:rPr>
                <w:rFonts w:hint="eastAsia" w:ascii="仿宋" w:hAnsi="仿宋" w:eastAsia="仿宋" w:cs="仿宋"/>
                <w:sz w:val="32"/>
                <w:szCs w:val="32"/>
              </w:rPr>
              <w:t>参加各类竞赛</w:t>
            </w:r>
            <w:r>
              <w:rPr>
                <w:rFonts w:hint="eastAsia" w:ascii="仿宋" w:hAnsi="仿宋" w:eastAsia="仿宋" w:cs="仿宋"/>
                <w:color w:val="auto"/>
                <w:sz w:val="32"/>
                <w:szCs w:val="32"/>
              </w:rPr>
              <w:t>活动，如实验技能竞赛</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毕业论文</w:t>
            </w:r>
          </w:p>
        </w:tc>
      </w:tr>
    </w:tbl>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textAlignment w:val="auto"/>
        <w:rPr>
          <w:rFonts w:hint="eastAsia" w:ascii="仿宋" w:hAnsi="仿宋" w:eastAsia="仿宋" w:cs="仿宋"/>
          <w:color w:val="000000"/>
          <w:sz w:val="32"/>
          <w:szCs w:val="32"/>
        </w:rPr>
      </w:pP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五、支持措施与监督评估办法</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rPr>
        <w:t>导师指导工作学年考</w:t>
      </w:r>
      <w:r>
        <w:rPr>
          <w:rFonts w:hint="default" w:ascii="Times New Roman" w:hAnsi="Times New Roman" w:eastAsia="仿宋_GB2312" w:cs="Times New Roman"/>
          <w:color w:val="auto"/>
          <w:sz w:val="32"/>
          <w:szCs w:val="32"/>
        </w:rPr>
        <w:t>核合格的，工作量按</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学时/(生·学</w:t>
      </w:r>
      <w:r>
        <w:rPr>
          <w:rFonts w:hint="eastAsia" w:ascii="Times New Roman" w:hAnsi="Times New Roman" w:eastAsia="仿宋_GB2312" w:cs="Times New Roman"/>
          <w:color w:val="auto"/>
          <w:sz w:val="32"/>
          <w:szCs w:val="32"/>
          <w:lang w:val="en-US" w:eastAsia="zh-CN"/>
        </w:rPr>
        <w:t>期</w:t>
      </w:r>
      <w:r>
        <w:rPr>
          <w:rFonts w:hint="default" w:ascii="Times New Roman" w:hAnsi="Times New Roman" w:eastAsia="仿宋_GB2312" w:cs="Times New Roman"/>
          <w:color w:val="auto"/>
          <w:sz w:val="32"/>
          <w:szCs w:val="32"/>
        </w:rPr>
        <w:t>)计算。</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firstLine="56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学生毕业后，凡升学至国内、国际学科排名在我院之前的高校，或者</w:t>
      </w:r>
      <w:r>
        <w:rPr>
          <w:rFonts w:hint="default" w:ascii="Times New Roman" w:hAnsi="Times New Roman" w:eastAsia="仿宋_GB2312" w:cs="Times New Roman"/>
          <w:color w:val="auto"/>
          <w:sz w:val="32"/>
          <w:szCs w:val="32"/>
          <w:lang w:val="en-US" w:eastAsia="zh-CN"/>
        </w:rPr>
        <w:t>获得优秀本科毕业生称号的</w:t>
      </w:r>
      <w:r>
        <w:rPr>
          <w:rFonts w:hint="default" w:ascii="Times New Roman" w:hAnsi="Times New Roman" w:eastAsia="仿宋_GB2312" w:cs="Times New Roman"/>
          <w:color w:val="auto"/>
          <w:sz w:val="32"/>
          <w:szCs w:val="32"/>
        </w:rPr>
        <w:t>，学院对导师绩效奖励。</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rPr>
        <w:t>学院将设立</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化学学院本科生全程导师督导组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，教学副院长、副书记任组长，组员</w:t>
      </w:r>
      <w:r>
        <w:rPr>
          <w:rFonts w:hint="default" w:ascii="Times New Roman" w:hAnsi="Times New Roman" w:eastAsia="仿宋_GB2312" w:cs="Times New Roman"/>
          <w:color w:val="000000"/>
          <w:sz w:val="32"/>
          <w:szCs w:val="32"/>
          <w:lang w:val="en-US" w:eastAsia="zh-CN"/>
        </w:rPr>
        <w:t>以辅导员和班主任为主，</w:t>
      </w:r>
      <w:r>
        <w:rPr>
          <w:rFonts w:hint="default" w:ascii="Times New Roman" w:hAnsi="Times New Roman" w:eastAsia="仿宋_GB2312" w:cs="Times New Roman"/>
          <w:color w:val="000000"/>
          <w:sz w:val="32"/>
          <w:szCs w:val="32"/>
        </w:rPr>
        <w:t>负责该项目的策划、执行、监督、反馈和评价工作。</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rPr>
        <w:t>化学学院本科生全程导师督导组每学年对导师工作质量给与评估。以</w:t>
      </w:r>
      <w:r>
        <w:rPr>
          <w:rFonts w:hint="default" w:ascii="Times New Roman" w:hAnsi="Times New Roman" w:eastAsia="仿宋_GB2312" w:cs="Times New Roman"/>
          <w:sz w:val="32"/>
          <w:szCs w:val="32"/>
        </w:rPr>
        <w:t>《化学学院本科生全程导师制——学业发展培养评价表》为基本依据，</w:t>
      </w:r>
      <w:r>
        <w:rPr>
          <w:rFonts w:hint="default" w:ascii="Times New Roman" w:hAnsi="Times New Roman" w:eastAsia="仿宋_GB2312" w:cs="Times New Roman"/>
          <w:color w:val="000000"/>
          <w:sz w:val="32"/>
          <w:szCs w:val="32"/>
        </w:rPr>
        <w:t>评估包含导师与学生交流的情况（包括交流的次数、内容、形式、氛围等），导师是否帮助学生解决了一些实际问题（如学业困惑、专业思想问题等），导师是否给学生提供了一些资源（参与科研实践、参加各类学术会议等机会）。</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五）</w:t>
      </w:r>
      <w:r>
        <w:rPr>
          <w:rFonts w:hint="default" w:ascii="Times New Roman" w:hAnsi="Times New Roman" w:eastAsia="仿宋_GB2312" w:cs="Times New Roman"/>
          <w:color w:val="000000"/>
          <w:sz w:val="32"/>
          <w:szCs w:val="32"/>
        </w:rPr>
        <w:t>学生参加情况考核合格的，除了在综合测评中业余科研加分中体</w:t>
      </w:r>
      <w:r>
        <w:rPr>
          <w:rFonts w:hint="default" w:ascii="Times New Roman" w:hAnsi="Times New Roman" w:eastAsia="仿宋_GB2312" w:cs="Times New Roman"/>
          <w:color w:val="auto"/>
          <w:sz w:val="32"/>
          <w:szCs w:val="32"/>
        </w:rPr>
        <w:t>现外，可申请《</w:t>
      </w:r>
      <w:r>
        <w:rPr>
          <w:rFonts w:hint="eastAsia" w:ascii="Times New Roman" w:hAnsi="Times New Roman" w:eastAsia="仿宋_GB2312" w:cs="Times New Roman"/>
          <w:color w:val="auto"/>
          <w:sz w:val="32"/>
          <w:szCs w:val="32"/>
          <w:lang w:val="en-US" w:eastAsia="zh-CN"/>
        </w:rPr>
        <w:t>科研训练</w:t>
      </w:r>
      <w:r>
        <w:rPr>
          <w:rFonts w:hint="default" w:ascii="Times New Roman" w:hAnsi="Times New Roman" w:eastAsia="仿宋_GB2312" w:cs="Times New Roman"/>
          <w:color w:val="auto"/>
          <w:sz w:val="32"/>
          <w:szCs w:val="32"/>
        </w:rPr>
        <w:t>》课程学分。同时把学生参与全程导</w:t>
      </w:r>
      <w:r>
        <w:rPr>
          <w:rFonts w:hint="default" w:ascii="Times New Roman" w:hAnsi="Times New Roman" w:eastAsia="仿宋_GB2312" w:cs="Times New Roman"/>
          <w:color w:val="000000"/>
          <w:sz w:val="32"/>
          <w:szCs w:val="32"/>
        </w:rPr>
        <w:t>师情况列为学生评价的重要参考依据之一。</w:t>
      </w:r>
    </w:p>
    <w:p>
      <w:pPr>
        <w:pStyle w:val="7"/>
        <w:keepNext w:val="0"/>
        <w:keepLines w:val="0"/>
        <w:pageBreakBefore w:val="0"/>
        <w:widowControl/>
        <w:numPr>
          <w:ilvl w:val="255"/>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val="0"/>
          <w:bCs w:val="0"/>
          <w:color w:val="000000"/>
          <w:sz w:val="32"/>
          <w:szCs w:val="32"/>
        </w:rPr>
        <w:t>六、本院本科生全程导师制相关规定由“化学学院本科生全程导师督导组”负责制定并解释。由学生工作部负责具体</w:t>
      </w:r>
      <w:r>
        <w:rPr>
          <w:rFonts w:hint="eastAsia" w:ascii="Times New Roman" w:hAnsi="Times New Roman" w:eastAsia="仿宋_GB2312" w:cs="Times New Roman"/>
          <w:b w:val="0"/>
          <w:bCs w:val="0"/>
          <w:color w:val="000000"/>
          <w:sz w:val="32"/>
          <w:szCs w:val="32"/>
          <w:lang w:val="en-US" w:eastAsia="zh-CN"/>
        </w:rPr>
        <w:t>实施工</w:t>
      </w:r>
      <w:r>
        <w:rPr>
          <w:rFonts w:hint="default" w:ascii="Times New Roman" w:hAnsi="Times New Roman" w:eastAsia="仿宋_GB2312" w:cs="Times New Roman"/>
          <w:b w:val="0"/>
          <w:bCs w:val="0"/>
          <w:color w:val="000000"/>
          <w:sz w:val="32"/>
          <w:szCs w:val="32"/>
        </w:rPr>
        <w:t>作。</w:t>
      </w:r>
    </w:p>
    <w:p>
      <w:pPr>
        <w:pStyle w:val="7"/>
        <w:spacing w:before="0" w:beforeAutospacing="0" w:after="0" w:afterAutospacing="0" w:line="480" w:lineRule="atLeast"/>
        <w:ind w:firstLine="645"/>
        <w:jc w:val="both"/>
        <w:rPr>
          <w:rFonts w:ascii="仿宋" w:hAnsi="仿宋" w:eastAsia="仿宋" w:cs="仿宋"/>
          <w:b/>
          <w:bCs/>
          <w:color w:val="auto"/>
          <w:sz w:val="32"/>
          <w:szCs w:val="32"/>
          <w:highlight w:val="none"/>
        </w:rPr>
      </w:pPr>
      <w:r>
        <w:rPr>
          <w:rFonts w:hint="default" w:ascii="Times New Roman" w:hAnsi="Times New Roman" w:eastAsia="仿宋_GB2312" w:cs="Times New Roman"/>
          <w:b/>
          <w:bCs/>
          <w:color w:val="auto"/>
          <w:sz w:val="32"/>
          <w:szCs w:val="32"/>
        </w:rPr>
        <w:t>七、本办法自发布之日起</w:t>
      </w:r>
      <w:r>
        <w:rPr>
          <w:rFonts w:hint="eastAsia" w:ascii="Times New Roman" w:hAnsi="Times New Roman" w:eastAsia="仿宋_GB2312" w:cs="Times New Roman"/>
          <w:b/>
          <w:bCs/>
          <w:color w:val="auto"/>
          <w:sz w:val="32"/>
          <w:szCs w:val="32"/>
          <w:lang w:val="en-US" w:eastAsia="zh-CN"/>
        </w:rPr>
        <w:t>在2019级之后年级</w:t>
      </w:r>
      <w:r>
        <w:rPr>
          <w:rFonts w:hint="default" w:ascii="Times New Roman" w:hAnsi="Times New Roman" w:eastAsia="仿宋_GB2312" w:cs="Times New Roman"/>
          <w:b/>
          <w:bCs/>
          <w:color w:val="auto"/>
          <w:sz w:val="32"/>
          <w:szCs w:val="32"/>
        </w:rPr>
        <w:t>执行</w:t>
      </w:r>
      <w:r>
        <w:rPr>
          <w:rFonts w:hint="eastAsia"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bCs/>
          <w:color w:val="auto"/>
          <w:sz w:val="32"/>
          <w:szCs w:val="32"/>
          <w:lang w:val="en-US" w:eastAsia="zh-CN"/>
        </w:rPr>
        <w:t>其他年级仍按原实施细则执行</w:t>
      </w:r>
      <w:r>
        <w:rPr>
          <w:rFonts w:hint="default" w:ascii="Times New Roman" w:hAnsi="Times New Roman" w:eastAsia="仿宋_GB2312" w:cs="Times New Roman"/>
          <w:b/>
          <w:bCs/>
          <w:color w:val="auto"/>
          <w:sz w:val="32"/>
          <w:szCs w:val="32"/>
        </w:rPr>
        <w:t>。</w:t>
      </w:r>
    </w:p>
    <w:p>
      <w:pPr>
        <w:pStyle w:val="7"/>
        <w:spacing w:before="0" w:beforeAutospacing="0" w:after="0" w:afterAutospacing="0" w:line="480" w:lineRule="atLeast"/>
        <w:ind w:firstLine="645"/>
        <w:jc w:val="both"/>
        <w:rPr>
          <w:rFonts w:hint="eastAsia" w:ascii="仿宋" w:hAnsi="仿宋" w:eastAsia="仿宋" w:cs="仿宋"/>
          <w:b/>
          <w:bCs/>
          <w:color w:val="auto"/>
          <w:sz w:val="32"/>
          <w:szCs w:val="32"/>
          <w:highlight w:val="none"/>
        </w:rPr>
      </w:pPr>
      <w:r>
        <w:rPr>
          <w:rStyle w:val="12"/>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本办法经学院党政联席讨论通过，自公布之日起施行。</w:t>
      </w:r>
    </w:p>
    <w:p>
      <w:pPr>
        <w:pStyle w:val="7"/>
        <w:spacing w:before="0" w:beforeAutospacing="0" w:after="0" w:afterAutospacing="0" w:line="480" w:lineRule="atLeast"/>
        <w:ind w:firstLine="645"/>
        <w:jc w:val="both"/>
        <w:rPr>
          <w:rFonts w:hint="eastAsia" w:ascii="仿宋" w:hAnsi="仿宋" w:eastAsia="仿宋" w:cs="仿宋"/>
          <w:b/>
          <w:bCs/>
          <w:color w:val="auto"/>
          <w:sz w:val="32"/>
          <w:szCs w:val="32"/>
          <w:highlight w:val="none"/>
        </w:rPr>
      </w:pPr>
    </w:p>
    <w:p>
      <w:pPr>
        <w:pStyle w:val="7"/>
        <w:spacing w:before="0" w:beforeAutospacing="0" w:after="0" w:afterAutospacing="0" w:line="480" w:lineRule="atLeast"/>
        <w:ind w:firstLine="645"/>
        <w:jc w:val="both"/>
        <w:rPr>
          <w:rFonts w:hint="eastAsia" w:ascii="仿宋" w:hAnsi="仿宋" w:eastAsia="仿宋" w:cs="仿宋"/>
          <w:b/>
          <w:bCs/>
          <w:color w:val="auto"/>
          <w:sz w:val="32"/>
          <w:szCs w:val="32"/>
          <w:highlight w:val="none"/>
          <w:lang w:eastAsia="zh-CN"/>
        </w:rPr>
      </w:pPr>
      <w:r>
        <w:rPr>
          <w:rFonts w:hint="eastAsia" w:ascii="仿宋" w:hAnsi="仿宋" w:eastAsia="仿宋" w:cs="仿宋"/>
          <w:sz w:val="32"/>
          <w:szCs w:val="32"/>
        </w:rPr>
        <w:t>附件</w:t>
      </w:r>
      <w:r>
        <w:rPr>
          <w:rFonts w:hint="eastAsia" w:ascii="仿宋" w:hAnsi="仿宋" w:eastAsia="仿宋" w:cs="仿宋"/>
          <w:sz w:val="32"/>
          <w:szCs w:val="32"/>
          <w:lang w:eastAsia="zh-CN"/>
        </w:rPr>
        <w:t>：全程导师制学业发展培养评价表</w:t>
      </w:r>
    </w:p>
    <w:p>
      <w:pPr>
        <w:pStyle w:val="7"/>
        <w:spacing w:before="0" w:beforeAutospacing="0" w:after="0" w:afterAutospacing="0" w:line="480" w:lineRule="atLeast"/>
        <w:jc w:val="both"/>
        <w:rPr>
          <w:rFonts w:ascii="inherit" w:hAnsi="inherit" w:cs="Segoe UI"/>
          <w:color w:val="auto"/>
          <w:sz w:val="21"/>
          <w:szCs w:val="21"/>
          <w:highlight w:val="none"/>
        </w:rPr>
      </w:pPr>
    </w:p>
    <w:p>
      <w:pPr>
        <w:pStyle w:val="7"/>
        <w:spacing w:before="0" w:beforeAutospacing="0" w:after="0" w:afterAutospacing="0" w:line="480" w:lineRule="atLeast"/>
        <w:jc w:val="both"/>
        <w:rPr>
          <w:rFonts w:ascii="inherit" w:hAnsi="inherit" w:cs="Segoe UI"/>
          <w:color w:val="auto"/>
          <w:sz w:val="21"/>
          <w:szCs w:val="21"/>
          <w:highlight w:val="none"/>
        </w:rPr>
      </w:pPr>
    </w:p>
    <w:p>
      <w:pPr>
        <w:pStyle w:val="7"/>
        <w:spacing w:before="0" w:beforeAutospacing="0" w:after="0" w:afterAutospacing="0" w:line="480" w:lineRule="atLeast"/>
        <w:jc w:val="both"/>
        <w:rPr>
          <w:rFonts w:ascii="inherit" w:hAnsi="inherit" w:cs="Segoe UI"/>
          <w:color w:val="auto"/>
          <w:sz w:val="21"/>
          <w:szCs w:val="21"/>
          <w:highlight w:val="none"/>
        </w:rPr>
      </w:pPr>
    </w:p>
    <w:p>
      <w:pPr>
        <w:pStyle w:val="7"/>
        <w:spacing w:before="0" w:beforeAutospacing="0" w:after="0" w:afterAutospacing="0" w:line="480" w:lineRule="atLeast"/>
        <w:jc w:val="both"/>
        <w:rPr>
          <w:rFonts w:ascii="inherit" w:hAnsi="inherit" w:cs="Segoe UI"/>
          <w:color w:val="auto"/>
          <w:sz w:val="21"/>
          <w:szCs w:val="21"/>
          <w:highlight w:val="none"/>
        </w:rPr>
      </w:pPr>
    </w:p>
    <w:p>
      <w:pPr>
        <w:pStyle w:val="7"/>
        <w:spacing w:before="0" w:beforeAutospacing="0" w:after="0" w:afterAutospacing="0" w:line="480" w:lineRule="atLeast"/>
        <w:jc w:val="both"/>
        <w:rPr>
          <w:rFonts w:ascii="inherit" w:hAnsi="inherit" w:cs="Segoe UI"/>
          <w:color w:val="auto"/>
          <w:sz w:val="21"/>
          <w:szCs w:val="21"/>
          <w:highlight w:val="none"/>
        </w:rPr>
      </w:pPr>
    </w:p>
    <w:p>
      <w:pPr>
        <w:pStyle w:val="7"/>
        <w:spacing w:before="0" w:beforeAutospacing="0" w:after="0" w:afterAutospacing="0" w:line="480" w:lineRule="atLeast"/>
        <w:jc w:val="both"/>
        <w:rPr>
          <w:rFonts w:ascii="inherit" w:hAnsi="inherit" w:cs="Segoe UI"/>
          <w:color w:val="auto"/>
          <w:sz w:val="21"/>
          <w:szCs w:val="21"/>
          <w:highlight w:val="none"/>
        </w:rPr>
      </w:pPr>
    </w:p>
    <w:p>
      <w:pPr>
        <w:pStyle w:val="7"/>
        <w:spacing w:before="0" w:beforeAutospacing="0" w:after="0" w:afterAutospacing="0" w:line="480" w:lineRule="atLeast"/>
        <w:jc w:val="both"/>
        <w:rPr>
          <w:rFonts w:ascii="inherit" w:hAnsi="inherit" w:cs="Segoe UI"/>
          <w:color w:val="auto"/>
          <w:sz w:val="21"/>
          <w:szCs w:val="21"/>
          <w:highlight w:val="none"/>
        </w:rPr>
      </w:pPr>
    </w:p>
    <w:p>
      <w:pPr>
        <w:pStyle w:val="7"/>
        <w:spacing w:before="0" w:beforeAutospacing="0" w:after="0" w:afterAutospacing="0" w:line="480" w:lineRule="atLeast"/>
        <w:jc w:val="both"/>
        <w:rPr>
          <w:rFonts w:ascii="inherit" w:hAnsi="inherit" w:cs="Segoe UI"/>
          <w:color w:val="auto"/>
          <w:sz w:val="21"/>
          <w:szCs w:val="21"/>
          <w:highlight w:val="none"/>
        </w:rPr>
      </w:pPr>
    </w:p>
    <w:p>
      <w:pPr>
        <w:pStyle w:val="7"/>
        <w:spacing w:before="0" w:beforeAutospacing="0" w:after="0" w:afterAutospacing="0" w:line="480" w:lineRule="atLeast"/>
        <w:jc w:val="both"/>
        <w:rPr>
          <w:rFonts w:ascii="inherit" w:hAnsi="inherit" w:cs="Segoe UI"/>
          <w:color w:val="auto"/>
          <w:sz w:val="21"/>
          <w:szCs w:val="21"/>
          <w:highlight w:val="none"/>
        </w:rPr>
      </w:pPr>
    </w:p>
    <w:p>
      <w:pPr>
        <w:pStyle w:val="7"/>
        <w:spacing w:before="0" w:beforeAutospacing="0" w:after="0" w:afterAutospacing="0" w:line="480" w:lineRule="atLeast"/>
        <w:jc w:val="both"/>
        <w:rPr>
          <w:rFonts w:ascii="inherit" w:hAnsi="inherit" w:cs="Segoe UI"/>
          <w:color w:val="auto"/>
          <w:sz w:val="21"/>
          <w:szCs w:val="21"/>
          <w:highlight w:val="none"/>
        </w:rPr>
      </w:pPr>
    </w:p>
    <w:p>
      <w:pPr>
        <w:pStyle w:val="7"/>
        <w:spacing w:before="0" w:beforeAutospacing="0" w:after="0" w:afterAutospacing="0" w:line="480" w:lineRule="atLeast"/>
        <w:jc w:val="both"/>
        <w:rPr>
          <w:rFonts w:ascii="inherit" w:hAnsi="inherit" w:cs="Segoe UI"/>
          <w:color w:val="auto"/>
          <w:sz w:val="21"/>
          <w:szCs w:val="21"/>
          <w:highlight w:val="none"/>
        </w:rPr>
      </w:pPr>
    </w:p>
    <w:p>
      <w:pPr>
        <w:pStyle w:val="7"/>
        <w:spacing w:before="0" w:beforeAutospacing="0" w:after="0" w:afterAutospacing="0" w:line="480" w:lineRule="atLeast"/>
        <w:jc w:val="both"/>
        <w:rPr>
          <w:rFonts w:ascii="inherit" w:hAnsi="inherit" w:cs="Segoe UI"/>
          <w:color w:val="auto"/>
          <w:sz w:val="21"/>
          <w:szCs w:val="21"/>
          <w:highlight w:val="none"/>
        </w:rPr>
      </w:pPr>
    </w:p>
    <w:p>
      <w:pPr>
        <w:pStyle w:val="7"/>
        <w:spacing w:before="0" w:beforeAutospacing="0" w:after="0" w:afterAutospacing="0" w:line="480" w:lineRule="atLeast"/>
        <w:jc w:val="both"/>
        <w:rPr>
          <w:rFonts w:ascii="inherit" w:hAnsi="inherit" w:cs="Segoe UI"/>
          <w:color w:val="auto"/>
          <w:sz w:val="21"/>
          <w:szCs w:val="21"/>
          <w:highlight w:val="none"/>
        </w:rPr>
      </w:pPr>
    </w:p>
    <w:p>
      <w:pPr>
        <w:pStyle w:val="7"/>
        <w:spacing w:before="0" w:beforeAutospacing="0" w:after="0" w:afterAutospacing="0" w:line="480" w:lineRule="atLeast"/>
        <w:jc w:val="both"/>
        <w:rPr>
          <w:rFonts w:ascii="inherit" w:hAnsi="inherit" w:cs="Segoe UI"/>
          <w:color w:val="auto"/>
          <w:sz w:val="21"/>
          <w:szCs w:val="21"/>
          <w:highlight w:val="none"/>
        </w:rPr>
      </w:pPr>
    </w:p>
    <w:p>
      <w:pPr>
        <w:pStyle w:val="7"/>
        <w:spacing w:before="0" w:beforeAutospacing="0" w:after="0" w:afterAutospacing="0" w:line="480" w:lineRule="atLeast"/>
        <w:jc w:val="both"/>
        <w:rPr>
          <w:rFonts w:ascii="inherit" w:hAnsi="inherit" w:cs="Segoe UI"/>
          <w:color w:val="auto"/>
          <w:sz w:val="21"/>
          <w:szCs w:val="21"/>
          <w:highlight w:val="none"/>
        </w:rPr>
      </w:pPr>
    </w:p>
    <w:p>
      <w:pPr>
        <w:adjustRightInd w:val="0"/>
        <w:snapToGrid w:val="0"/>
        <w:spacing w:line="540" w:lineRule="atLeast"/>
        <w:ind w:right="624" w:firstLine="645"/>
        <w:jc w:val="right"/>
        <w:rPr>
          <w:rFonts w:ascii="仿宋" w:hAnsi="仿宋" w:eastAsia="仿宋" w:cs="仿宋"/>
          <w:kern w:val="0"/>
          <w:sz w:val="32"/>
          <w:szCs w:val="32"/>
        </w:rPr>
      </w:pPr>
      <w:bookmarkStart w:id="0" w:name="OLE_LINK2"/>
      <w:bookmarkStart w:id="1" w:name="OLE_LINK1"/>
    </w:p>
    <w:p>
      <w:pPr>
        <w:pBdr>
          <w:top w:val="single" w:color="auto" w:sz="4" w:space="0"/>
          <w:bottom w:val="single" w:color="auto" w:sz="4" w:space="1"/>
          <w:between w:val="single" w:color="auto" w:sz="4" w:space="1"/>
        </w:pBdr>
        <w:adjustRightInd w:val="0"/>
        <w:snapToGrid w:val="0"/>
        <w:spacing w:line="540" w:lineRule="atLeast"/>
        <w:ind w:firstLine="320" w:firstLineChars="100"/>
        <w:jc w:val="left"/>
        <w:rPr>
          <w:rFonts w:ascii="仿宋" w:hAnsi="仿宋" w:eastAsia="仿宋" w:cs="仿宋"/>
          <w:kern w:val="0"/>
          <w:sz w:val="32"/>
          <w:szCs w:val="32"/>
        </w:rPr>
      </w:pPr>
      <w:r>
        <w:rPr>
          <w:rFonts w:hint="eastAsia" w:ascii="仿宋" w:hAnsi="仿宋" w:eastAsia="仿宋" w:cs="仿宋"/>
          <w:kern w:val="0"/>
          <w:sz w:val="32"/>
          <w:szCs w:val="32"/>
        </w:rPr>
        <w:t>中山大学化学学院</w:t>
      </w:r>
      <w:r>
        <w:rPr>
          <w:rFonts w:ascii="仿宋" w:hAnsi="仿宋" w:eastAsia="仿宋" w:cs="仿宋"/>
          <w:kern w:val="0"/>
          <w:sz w:val="32"/>
          <w:szCs w:val="32"/>
        </w:rPr>
        <w:t xml:space="preserve">  </w:t>
      </w:r>
      <w:r>
        <w:rPr>
          <w:rFonts w:hint="eastAsia" w:ascii="仿宋" w:hAnsi="仿宋" w:eastAsia="仿宋" w:cs="仿宋"/>
          <w:kern w:val="0"/>
          <w:sz w:val="32"/>
          <w:szCs w:val="32"/>
        </w:rPr>
        <w:t xml:space="preserve">  </w:t>
      </w:r>
      <w:r>
        <w:rPr>
          <w:rFonts w:ascii="仿宋" w:hAnsi="仿宋" w:eastAsia="仿宋" w:cs="仿宋"/>
          <w:kern w:val="0"/>
          <w:sz w:val="32"/>
          <w:szCs w:val="32"/>
        </w:rPr>
        <w:t xml:space="preserve">   </w:t>
      </w:r>
      <w:r>
        <w:rPr>
          <w:rFonts w:hint="eastAsia" w:ascii="仿宋" w:hAnsi="仿宋" w:eastAsia="仿宋" w:cs="仿宋"/>
          <w:kern w:val="0"/>
          <w:sz w:val="32"/>
          <w:szCs w:val="32"/>
        </w:rPr>
        <w:t xml:space="preserve"> </w:t>
      </w:r>
      <w:r>
        <w:rPr>
          <w:rFonts w:ascii="仿宋" w:hAnsi="仿宋" w:eastAsia="仿宋" w:cs="仿宋"/>
          <w:kern w:val="0"/>
          <w:sz w:val="32"/>
          <w:szCs w:val="32"/>
        </w:rPr>
        <w:t xml:space="preserve">     2020</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18</w:t>
      </w:r>
      <w:r>
        <w:rPr>
          <w:rFonts w:hint="eastAsia" w:ascii="仿宋" w:hAnsi="仿宋" w:eastAsia="仿宋" w:cs="仿宋"/>
          <w:kern w:val="0"/>
          <w:sz w:val="32"/>
          <w:szCs w:val="32"/>
        </w:rPr>
        <w:t>日印发</w:t>
      </w:r>
      <w:bookmarkEnd w:id="0"/>
      <w:bookmarkEnd w:id="1"/>
    </w:p>
    <w:p>
      <w:pPr>
        <w:pStyle w:val="7"/>
        <w:spacing w:before="0" w:beforeAutospacing="0" w:after="0" w:afterAutospacing="0" w:line="480" w:lineRule="atLeast"/>
        <w:ind w:firstLine="645"/>
        <w:jc w:val="both"/>
        <w:rPr>
          <w:rFonts w:hint="eastAsia" w:ascii="Segoe UI" w:hAnsi="Segoe UI" w:cs="Segoe UI"/>
          <w:color w:val="auto"/>
          <w:sz w:val="21"/>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2FF" w:usb1="420024FF" w:usb2="00000000" w:usb3="00000000" w:csb0="2000019F" w:csb1="00000000"/>
  </w:font>
  <w:font w:name="inherit">
    <w:altName w:val="Cambria"/>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DD"/>
    <w:rsid w:val="00017102"/>
    <w:rsid w:val="00077F21"/>
    <w:rsid w:val="000A383A"/>
    <w:rsid w:val="000B4C20"/>
    <w:rsid w:val="000D301F"/>
    <w:rsid w:val="000D58F5"/>
    <w:rsid w:val="000F7F83"/>
    <w:rsid w:val="001269CC"/>
    <w:rsid w:val="001301DB"/>
    <w:rsid w:val="001A1F55"/>
    <w:rsid w:val="001B251F"/>
    <w:rsid w:val="001D0E41"/>
    <w:rsid w:val="001E29D1"/>
    <w:rsid w:val="00213BF5"/>
    <w:rsid w:val="002334C6"/>
    <w:rsid w:val="00246926"/>
    <w:rsid w:val="002470C5"/>
    <w:rsid w:val="00256996"/>
    <w:rsid w:val="002909F6"/>
    <w:rsid w:val="00292B07"/>
    <w:rsid w:val="002A19D6"/>
    <w:rsid w:val="002C7DDD"/>
    <w:rsid w:val="002F2085"/>
    <w:rsid w:val="003448CD"/>
    <w:rsid w:val="00387F48"/>
    <w:rsid w:val="0039213E"/>
    <w:rsid w:val="003C158D"/>
    <w:rsid w:val="003E2F63"/>
    <w:rsid w:val="003E4E1B"/>
    <w:rsid w:val="00445457"/>
    <w:rsid w:val="004560CD"/>
    <w:rsid w:val="00504AA5"/>
    <w:rsid w:val="00524F57"/>
    <w:rsid w:val="0052512B"/>
    <w:rsid w:val="00547180"/>
    <w:rsid w:val="00574EE8"/>
    <w:rsid w:val="0057657E"/>
    <w:rsid w:val="005E5645"/>
    <w:rsid w:val="006319AF"/>
    <w:rsid w:val="00653CCF"/>
    <w:rsid w:val="00661502"/>
    <w:rsid w:val="0068060A"/>
    <w:rsid w:val="006A03E3"/>
    <w:rsid w:val="006B3285"/>
    <w:rsid w:val="006D4576"/>
    <w:rsid w:val="006E3CA1"/>
    <w:rsid w:val="00722286"/>
    <w:rsid w:val="00727840"/>
    <w:rsid w:val="00756BBF"/>
    <w:rsid w:val="007659DB"/>
    <w:rsid w:val="007929EA"/>
    <w:rsid w:val="007B000E"/>
    <w:rsid w:val="007B07E1"/>
    <w:rsid w:val="007F6E36"/>
    <w:rsid w:val="008A3917"/>
    <w:rsid w:val="008C78DC"/>
    <w:rsid w:val="008F550A"/>
    <w:rsid w:val="00901400"/>
    <w:rsid w:val="009134E5"/>
    <w:rsid w:val="00927E54"/>
    <w:rsid w:val="0096314D"/>
    <w:rsid w:val="009850A7"/>
    <w:rsid w:val="00996F90"/>
    <w:rsid w:val="009C61E7"/>
    <w:rsid w:val="009E5902"/>
    <w:rsid w:val="00AA1FC5"/>
    <w:rsid w:val="00AB5017"/>
    <w:rsid w:val="00AF0AAB"/>
    <w:rsid w:val="00AF452A"/>
    <w:rsid w:val="00AF4918"/>
    <w:rsid w:val="00B0141F"/>
    <w:rsid w:val="00B9149D"/>
    <w:rsid w:val="00C01C35"/>
    <w:rsid w:val="00C114EB"/>
    <w:rsid w:val="00C3007B"/>
    <w:rsid w:val="00C35265"/>
    <w:rsid w:val="00C57FAE"/>
    <w:rsid w:val="00C74388"/>
    <w:rsid w:val="00CD687E"/>
    <w:rsid w:val="00CE0A64"/>
    <w:rsid w:val="00D35CC4"/>
    <w:rsid w:val="00D40A11"/>
    <w:rsid w:val="00D44518"/>
    <w:rsid w:val="00D73529"/>
    <w:rsid w:val="00D857C6"/>
    <w:rsid w:val="00DC055D"/>
    <w:rsid w:val="00DD32BE"/>
    <w:rsid w:val="00DE1B18"/>
    <w:rsid w:val="00DF08E0"/>
    <w:rsid w:val="00DF5083"/>
    <w:rsid w:val="00E00982"/>
    <w:rsid w:val="00E1687B"/>
    <w:rsid w:val="00E30789"/>
    <w:rsid w:val="00E334DD"/>
    <w:rsid w:val="00E45437"/>
    <w:rsid w:val="00E6686B"/>
    <w:rsid w:val="00E94DF5"/>
    <w:rsid w:val="00E954AE"/>
    <w:rsid w:val="00EA491B"/>
    <w:rsid w:val="00EB0CF0"/>
    <w:rsid w:val="00ED2093"/>
    <w:rsid w:val="00F06FAE"/>
    <w:rsid w:val="00F30E7E"/>
    <w:rsid w:val="00F94849"/>
    <w:rsid w:val="00FA1522"/>
    <w:rsid w:val="00FB49A4"/>
    <w:rsid w:val="00FE4FCC"/>
    <w:rsid w:val="00FF4897"/>
    <w:rsid w:val="04475069"/>
    <w:rsid w:val="0AD726E6"/>
    <w:rsid w:val="0BC1205C"/>
    <w:rsid w:val="0DBC3A0A"/>
    <w:rsid w:val="13E86147"/>
    <w:rsid w:val="2C154F16"/>
    <w:rsid w:val="2E10412D"/>
    <w:rsid w:val="32AD7097"/>
    <w:rsid w:val="3B8E6DD4"/>
    <w:rsid w:val="3D5B2DD9"/>
    <w:rsid w:val="4AB70D87"/>
    <w:rsid w:val="4F1B137A"/>
    <w:rsid w:val="50346EA9"/>
    <w:rsid w:val="50E17C13"/>
    <w:rsid w:val="5F182098"/>
    <w:rsid w:val="79BD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11"/>
    <w:pPr>
      <w:spacing w:line="312" w:lineRule="auto"/>
      <w:jc w:val="left"/>
      <w:outlineLvl w:val="1"/>
    </w:pPr>
    <w:rPr>
      <w:rFonts w:eastAsia="黑体"/>
      <w:b/>
      <w:bCs/>
      <w:kern w:val="28"/>
      <w:sz w:val="21"/>
      <w:szCs w:val="32"/>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15"/>
    <w:semiHidden/>
    <w:unhideWhenUsed/>
    <w:qFormat/>
    <w:uiPriority w:val="99"/>
    <w:rPr>
      <w:b/>
      <w:bCs/>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annotation reference"/>
    <w:basedOn w:val="11"/>
    <w:semiHidden/>
    <w:unhideWhenUsed/>
    <w:qFormat/>
    <w:uiPriority w:val="99"/>
    <w:rPr>
      <w:sz w:val="21"/>
      <w:szCs w:val="21"/>
    </w:rPr>
  </w:style>
  <w:style w:type="character" w:customStyle="1" w:styleId="14">
    <w:name w:val="批注文字 字符"/>
    <w:basedOn w:val="11"/>
    <w:link w:val="2"/>
    <w:semiHidden/>
    <w:qFormat/>
    <w:uiPriority w:val="99"/>
  </w:style>
  <w:style w:type="character" w:customStyle="1" w:styleId="15">
    <w:name w:val="批注主题 字符"/>
    <w:basedOn w:val="14"/>
    <w:link w:val="8"/>
    <w:semiHidden/>
    <w:qFormat/>
    <w:uiPriority w:val="99"/>
    <w:rPr>
      <w:b/>
      <w:bCs/>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框文本 字符"/>
    <w:basedOn w:val="11"/>
    <w:link w:val="3"/>
    <w:semiHidden/>
    <w:qFormat/>
    <w:uiPriority w:val="99"/>
    <w:rPr>
      <w:sz w:val="18"/>
      <w:szCs w:val="18"/>
    </w:rPr>
  </w:style>
  <w:style w:type="character" w:customStyle="1" w:styleId="18">
    <w:name w:val="页眉 字符"/>
    <w:basedOn w:val="11"/>
    <w:link w:val="5"/>
    <w:qFormat/>
    <w:uiPriority w:val="99"/>
    <w:rPr>
      <w:sz w:val="18"/>
      <w:szCs w:val="18"/>
    </w:rPr>
  </w:style>
  <w:style w:type="character" w:customStyle="1" w:styleId="19">
    <w:name w:val="页脚 字符"/>
    <w:basedOn w:val="11"/>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1045</Words>
  <Characters>5958</Characters>
  <Lines>49</Lines>
  <Paragraphs>13</Paragraphs>
  <TotalTime>9</TotalTime>
  <ScaleCrop>false</ScaleCrop>
  <LinksUpToDate>false</LinksUpToDate>
  <CharactersWithSpaces>6990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2018-10-06T02:12:00Z</dcterms:created>
  <dc:creator>姚 婉妮</dc:creator>
  <cp:lastModifiedBy>李颖</cp:lastModifiedBy>
  <dcterms:modified xsi:type="dcterms:W3CDTF">2020-06-19T02:36:47Z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